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a0830ac11741fc" /></Relationships>
</file>

<file path=word/document.xml><?xml version="1.0" encoding="utf-8"?>
<w:document xmlns:w="http://schemas.openxmlformats.org/wordprocessingml/2006/main">
  <w:body>
    <w:p>
      <w:r>
        <w:t>H-4035.1</w:t>
      </w:r>
    </w:p>
    <w:p>
      <w:pPr>
        <w:jc w:val="center"/>
      </w:pPr>
      <w:r>
        <w:t>_______________________________________________</w:t>
      </w:r>
    </w:p>
    <w:p/>
    <w:p>
      <w:pPr>
        <w:jc w:val="center"/>
      </w:pPr>
      <w:r>
        <w:rPr>
          <w:b/>
        </w:rPr>
        <w:t>HOUSE BILL 2726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Appleton, Chapman, and Robinson</w:t>
      </w:r>
    </w:p>
    <w:p/>
    <w:p>
      <w:r>
        <w:rPr>
          <w:t xml:space="preserve">Read first time 01/20/20.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types of marijuana-infused edible products that may be lawfully processed and sold in the regulated marijuana market, including products requiring refrigeration; amending RCW 69.07.200;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Marijuana-infused edible products that, in order to remain shelf stable, require refrigeration, freezing, retorting, or pasteurization, are authorized types of marijuana products that may be processed and sold by marijuana licensees under the terms of their marijuana license. The board and the department of agriculture must adopt rules establishing standards applicable to marijuana processors and marijuana retailers for the processing, storing, transferring, and selling of marijuana-infused edible products requiring refrigeration, freezing, retorting, or pasteurization, to protect public health and safety while providing consumers with reasonable access to a variety of these product types.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0" w:after="0" w:line="408" w:lineRule="exact"/>
        <w:ind w:left="0" w:right="0" w:firstLine="576"/>
        <w:jc w:val="left"/>
      </w:pPr>
      <w:r>
        <w:rPr>
          <w:u w:val="single"/>
        </w:rPr>
        <w:t xml:space="preserve">(5) Rules adopted by the department regarding marijuana-infused edible products must be consistent with section 1 of this act.</w:t>
      </w:r>
    </w:p>
    <w:p/>
    <w:p>
      <w:pPr>
        <w:jc w:val="center"/>
      </w:pPr>
      <w:r>
        <w:rPr>
          <w:b/>
        </w:rPr>
        <w:t>--- END ---</w:t>
      </w:r>
    </w:p>
    <w:sectPr>
      <w:pgNumType w:start="1"/>
      <w:footerReference xmlns:r="http://schemas.openxmlformats.org/officeDocument/2006/relationships" r:id="R615e79007e5140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862d459574b38" /><Relationship Type="http://schemas.openxmlformats.org/officeDocument/2006/relationships/footer" Target="/word/footer1.xml" Id="R615e79007e514086" /></Relationships>
</file>