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ef5a774844934" /></Relationships>
</file>

<file path=word/document.xml><?xml version="1.0" encoding="utf-8"?>
<w:document xmlns:w="http://schemas.openxmlformats.org/wordprocessingml/2006/main">
  <w:body>
    <w:p>
      <w:r>
        <w:t>H-4128.1</w:t>
      </w:r>
    </w:p>
    <w:p>
      <w:pPr>
        <w:jc w:val="center"/>
      </w:pPr>
      <w:r>
        <w:t>_______________________________________________</w:t>
      </w:r>
    </w:p>
    <w:p/>
    <w:p>
      <w:pPr>
        <w:jc w:val="center"/>
      </w:pPr>
      <w:r>
        <w:rPr>
          <w:b/>
        </w:rPr>
        <w:t>HOUSE BILL 2821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Robinson, Macri, and Pollet</w:t>
      </w:r>
    </w:p>
    <w:p/>
    <w:p>
      <w:r>
        <w:rPr>
          <w:t xml:space="preserve">Read first time 01/23/20.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funding the health insurance affordability account; adding a new section to chapter 48.14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addition to other taxes imposed under this chapter, each health carrier and managed care organization must pay a tax on or before the first day of March of each year to the state treasurer through the office of the insurance commissioner as follows:</w:t>
      </w:r>
    </w:p>
    <w:p>
      <w:pPr>
        <w:spacing w:before="0" w:after="0" w:line="408" w:lineRule="exact"/>
        <w:ind w:left="0" w:right="0" w:firstLine="576"/>
        <w:jc w:val="left"/>
      </w:pPr>
      <w:r>
        <w:rPr/>
        <w:t xml:space="preserve">(a) For taxes due in 2021, the tax must be equal to the total amount of all premiums for health benefit plans, dental only plans, and vision only plans, and prepayments for health care services provided by managed care organizations collected or received by health carriers and managed care organizations during the preceding calendar year 2020, multiplied by the rate of two and two-tenths percent. For tax purposes, the reporting of premiums and prepayments must be on a written basis or on a paid-for basis consistent with the basis required by the annual statement.</w:t>
      </w:r>
    </w:p>
    <w:p>
      <w:pPr>
        <w:spacing w:before="0" w:after="0" w:line="408" w:lineRule="exact"/>
        <w:ind w:left="0" w:right="0" w:firstLine="576"/>
        <w:jc w:val="left"/>
      </w:pPr>
      <w:r>
        <w:rPr/>
        <w:t xml:space="preserve">(b) Beginning with taxes due in 2022 and thereafter, the tax must be equal to the total amount of all premiums for health benefit plans, dental only plans, and vision only plans, and prepayments for health care services provided by managed care organizations collected or received by health carriers and managed care organizations during the preceding calendar year, multiplied by the rate of one and five-tenths percent. For tax purposes, the reporting of premiums and prepayments must be on a written basis or on a paid-for basis consistent with the basis required by the annual statement.</w:t>
      </w:r>
    </w:p>
    <w:p>
      <w:pPr>
        <w:spacing w:before="0" w:after="0" w:line="408" w:lineRule="exact"/>
        <w:ind w:left="0" w:right="0" w:firstLine="576"/>
        <w:jc w:val="left"/>
      </w:pPr>
      <w:r>
        <w:rPr/>
        <w:t xml:space="preserve">(2) Moneys collected pursuant to this section must be deposited into the health insurance affordability account created in section 2 of this act.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"Health carrier" has the same meaning as in RCW 48.43.005.</w:t>
      </w:r>
    </w:p>
    <w:p>
      <w:pPr>
        <w:spacing w:before="0" w:after="0" w:line="408" w:lineRule="exact"/>
        <w:ind w:left="0" w:right="0" w:firstLine="576"/>
        <w:jc w:val="left"/>
      </w:pPr>
      <w:r>
        <w:rPr/>
        <w:t xml:space="preserve">(b) "Health plan" has the same meaning as in RCW 48.43.005.</w:t>
      </w:r>
    </w:p>
    <w:p>
      <w:pPr>
        <w:spacing w:before="0" w:after="0" w:line="408" w:lineRule="exact"/>
        <w:ind w:left="0" w:right="0" w:firstLine="576"/>
        <w:jc w:val="left"/>
      </w:pPr>
      <w:r>
        <w:rPr/>
        <w:t xml:space="preserve">(c) "Managed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health care authority's managed care programs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health insurance affordability account is created in the state treasury. All receipts from the tax collected under section 1 of this act must be deposited into the account. Moneys in the account may be spent only after appropriation. Expenditures from the account may be used only for low-income health insurance programs.</w:t>
      </w:r>
    </w:p>
    <w:p/>
    <w:p>
      <w:pPr>
        <w:jc w:val="center"/>
      </w:pPr>
      <w:r>
        <w:rPr>
          <w:b/>
        </w:rPr>
        <w:t>--- END ---</w:t>
      </w:r>
    </w:p>
    <w:sectPr>
      <w:pgNumType w:start="1"/>
      <w:footerReference xmlns:r="http://schemas.openxmlformats.org/officeDocument/2006/relationships" r:id="Rc0f9876602494a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87123a3c24232" /><Relationship Type="http://schemas.openxmlformats.org/officeDocument/2006/relationships/footer" Target="/word/footer1.xml" Id="Rc0f9876602494a4b" /></Relationships>
</file>