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a50f44bc9c4ea6" /></Relationships>
</file>

<file path=word/document.xml><?xml version="1.0" encoding="utf-8"?>
<w:document xmlns:w="http://schemas.openxmlformats.org/wordprocessingml/2006/main">
  <w:body>
    <w:p>
      <w:r>
        <w:t>H-4633.2</w:t>
      </w:r>
    </w:p>
    <w:p>
      <w:pPr>
        <w:jc w:val="center"/>
      </w:pPr>
      <w:r>
        <w:t>_______________________________________________</w:t>
      </w:r>
    </w:p>
    <w:p/>
    <w:p>
      <w:pPr>
        <w:jc w:val="center"/>
      </w:pPr>
      <w:r>
        <w:rPr>
          <w:b/>
        </w:rPr>
        <w:t>SUBSTITUTE HOUSE BILL 2870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Pettigrew and Ryu; by request of Liquor and Cannabis Board)</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marijuana retail licenses for social equity purposes; amending RCW 69.50.540; adding new sections to chapter 69.50 RCW;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history of marijuana prohibition enforcement has created disproportionate impacts, with the greatest harm falling upon communities of color. For example, national data indicate that while African Americans and white Americans have similar marijuana usage rates, African Americans have been arrested at four times the rate of white Americans. Data for Washington state also show disproportionate impacts across racial and ethnic lines from marijuana prohibition enforcement. As a further example, Latino and Native American Washingtonians were arrested for marijuana possession 1.6 times more often than white residents between 2000 and 2010. Even after Washington voters legalized marijuana possession and use for adults, disproportionate impacts continued, with arrests of African Americans in Washington for possession remaining more than twice the arrest rate for white residents, according to Washington State University research.</w:t>
      </w:r>
    </w:p>
    <w:p>
      <w:pPr>
        <w:spacing w:before="0" w:after="0" w:line="408" w:lineRule="exact"/>
        <w:ind w:left="0" w:right="0" w:firstLine="576"/>
        <w:jc w:val="left"/>
      </w:pPr>
      <w:r>
        <w:rPr/>
        <w:t xml:space="preserve">(2) General prohibition of marijuana possession and use by adults in Washington ended when state voters enacted Initiative Measure No. 502 in 2012. When the state created a system for legal marijuana production and retail sale, it was one of the first governmental jurisdictions to face the challenge of creating a regulatory structure for a controlled substance long-banned as an illegal and dangerous drug. Social equity considerations were not fully considered in licensing criteria for the newly created adult use marijuana industry. Subsequently concerns have been widely expressed about the absence of social equity in Washington's marijuana industry.</w:t>
      </w:r>
    </w:p>
    <w:p>
      <w:pPr>
        <w:spacing w:before="0" w:after="0" w:line="408" w:lineRule="exact"/>
        <w:ind w:left="0" w:right="0" w:firstLine="576"/>
        <w:jc w:val="left"/>
      </w:pPr>
      <w:r>
        <w:rPr/>
        <w:t xml:space="preserve">(3) The legislature finds that social equity with respect to marijuana requires not merely the elimination of legal prohibitions, but also economic opportunities particularly for residents who come from communities disproportionately impacted by historical marijuana prohibition. The legislature intends that the marijuana industry be reflective of the diverse population of the state and that it provides economic opportunities for all communities while addressing disproportionate impacts from prohibition. The legislature therefore intends to establish a legislative task force on marijuana social equity and make available currently unused licenses and provide recommendations on providing new opportunities for marijuana retail licenses to create a more diverse industry that reflects Washington's social equity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Until July 1, 2028,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in rule by the board, may be issued or reissued to an applicant who meets the marijuana retailer license requirements of this chapter.</w:t>
      </w:r>
    </w:p>
    <w:p>
      <w:pPr>
        <w:spacing w:before="0" w:after="0" w:line="408" w:lineRule="exact"/>
        <w:ind w:left="0" w:right="0" w:firstLine="576"/>
        <w:jc w:val="left"/>
      </w:pPr>
      <w:r>
        <w:rPr/>
        <w:t xml:space="preserve">(2)(a) In order to be considered for a retail license under subsection (1) of this section, applicants must submit a social equity plan provided by the commission on African American affairs along with other board marijuana retailer license requirements to the relevant city, town, or county.</w:t>
      </w:r>
    </w:p>
    <w:p>
      <w:pPr>
        <w:spacing w:before="0" w:after="0" w:line="408" w:lineRule="exact"/>
        <w:ind w:left="0" w:right="0" w:firstLine="576"/>
        <w:jc w:val="left"/>
      </w:pPr>
      <w:r>
        <w:rPr/>
        <w:t xml:space="preserve">(b) Persons holding an existing marijuana retailer license or title certificate for a marijuana retailer business in a local jurisdiction subject to a ban or moratorium on marijuana retail businesses may apply for a license under this section.</w:t>
      </w:r>
    </w:p>
    <w:p>
      <w:pPr>
        <w:spacing w:before="0" w:after="0" w:line="408" w:lineRule="exact"/>
        <w:ind w:left="0" w:right="0" w:firstLine="576"/>
        <w:jc w:val="left"/>
      </w:pPr>
      <w:r>
        <w:rPr/>
        <w:t xml:space="preserve">(3)(a) In determining the issuance of a license among applicants, the board must give priority to those social equity applicants who represent a race or gender that has experienced some form of discrimination due to passive participation in a system of racial exclusion under the judicial test of strict scrutiny. These applicants must come from a city, town, or county with a history of disparate impact. It may also prioritize applicants based on the extent to which the application addresses the items required by the social equity plan.</w:t>
      </w:r>
    </w:p>
    <w:p>
      <w:pPr>
        <w:spacing w:before="0" w:after="0" w:line="408" w:lineRule="exact"/>
        <w:ind w:left="0" w:right="0" w:firstLine="576"/>
        <w:jc w:val="left"/>
      </w:pPr>
      <w:r>
        <w:rPr/>
        <w:t xml:space="preserve">(b) The board may deny any application forwarded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w:t>
      </w:r>
    </w:p>
    <w:p>
      <w:pPr>
        <w:spacing w:before="0" w:after="0" w:line="408" w:lineRule="exact"/>
        <w:ind w:left="0" w:right="0" w:firstLine="576"/>
        <w:jc w:val="left"/>
      </w:pPr>
      <w:r>
        <w:rPr/>
        <w:t xml:space="preserve">(ii) The application does not otherwise meet the licensing requirements of this chapter; or</w:t>
      </w:r>
    </w:p>
    <w:p>
      <w:pPr>
        <w:spacing w:before="0" w:after="0" w:line="408" w:lineRule="exact"/>
        <w:ind w:left="0" w:right="0" w:firstLine="576"/>
        <w:jc w:val="left"/>
      </w:pPr>
      <w:r>
        <w:rPr/>
        <w:t xml:space="preserve">(iii) Additional marijuana retailer licenses are not needed to meet social equity goals in that city, town, or county.</w:t>
      </w:r>
    </w:p>
    <w:p>
      <w:pPr>
        <w:spacing w:before="0" w:after="0" w:line="408" w:lineRule="exact"/>
        <w:ind w:left="0" w:right="0" w:firstLine="576"/>
        <w:jc w:val="left"/>
      </w:pPr>
      <w:r>
        <w:rPr/>
        <w:t xml:space="preserve">(4) The board may adopt rules to implement this section. Rules may include strategies for receiving advice on the social equity plan from communities the plan is intended to benefit. Rules may also require that licenses awarded under this section be transferred or sold only to individuals or groups of individuals who comply with the requirements for initial licensure in the social equity plan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misdemeanor marijuana offense that is eligible for a vacation of the applicant's record of conviction for the misdemeanor marijuana offense under RCW 9.96.060, or is a family member of an individual impacted under this subsection.</w:t>
      </w:r>
    </w:p>
    <w:p>
      <w:pPr>
        <w:spacing w:before="0" w:after="0" w:line="408" w:lineRule="exact"/>
        <w:ind w:left="0" w:right="0" w:firstLine="576"/>
        <w:jc w:val="left"/>
      </w:pPr>
      <w:r>
        <w:rPr/>
        <w:t xml:space="preserve">(b) "Social equity goals" means:</w:t>
      </w:r>
    </w:p>
    <w:p>
      <w:pPr>
        <w:spacing w:before="0" w:after="0" w:line="408" w:lineRule="exact"/>
        <w:ind w:left="0" w:right="0" w:firstLine="576"/>
        <w:jc w:val="left"/>
      </w:pPr>
      <w:r>
        <w:rPr/>
        <w:t xml:space="preserve">(i) Increasing the number of marijuana retailer licenses held by people of color, especially those from communities that are underrepresented in the marijuana industry and whose communities have suffered a disproportionate number of marijuana arrests beginning January 1, 1988; and</w:t>
      </w:r>
    </w:p>
    <w:p>
      <w:pPr>
        <w:spacing w:before="0" w:after="0" w:line="408" w:lineRule="exact"/>
        <w:ind w:left="0" w:right="0" w:firstLine="576"/>
        <w:jc w:val="left"/>
      </w:pPr>
      <w:r>
        <w:rPr/>
        <w:t xml:space="preserve">(ii) Reducing disproportionate impacts from the historical application and enforcement of marijuana prohibition laws.</w:t>
      </w:r>
    </w:p>
    <w:p>
      <w:pPr>
        <w:spacing w:before="0" w:after="0" w:line="408" w:lineRule="exact"/>
        <w:ind w:left="0" w:right="0" w:firstLine="576"/>
        <w:jc w:val="left"/>
      </w:pPr>
      <w:r>
        <w:rPr/>
        <w:t xml:space="preserve">(c) "Social equity plan" means a plan put forth by the Washington state commission on African American affairs whose powers and duties are inclusive of, but not limited to, advising the governor and state agencies on the development and implementation of policies, plans, and programs that relate to the special needs of African Americans. If the application proposes ownership by more than one person, then at least fifty-one percent of the proposed ownership structure must reflect membership in communities of color. The plan must include:</w:t>
      </w:r>
    </w:p>
    <w:p>
      <w:pPr>
        <w:spacing w:before="0" w:after="0" w:line="408" w:lineRule="exact"/>
        <w:ind w:left="0" w:right="0" w:firstLine="576"/>
        <w:jc w:val="left"/>
      </w:pPr>
      <w:r>
        <w:rPr/>
        <w:t xml:space="preserve">(i) A statement that the social equity applicant belongs to one or more communities of color and intends to own at least fifty-one percent of the proposed marijuana retail business or applicants representing at least fifty-one percent of the ownership of the proposed business belong to one or more communities of color;</w:t>
      </w:r>
    </w:p>
    <w:p>
      <w:pPr>
        <w:spacing w:before="0" w:after="0" w:line="408" w:lineRule="exact"/>
        <w:ind w:left="0" w:right="0" w:firstLine="576"/>
        <w:jc w:val="left"/>
      </w:pPr>
      <w:r>
        <w:rPr/>
        <w:t xml:space="preserve">(ii) How issuing a marijuana retail license to the social equity applicant will meet social equity goals;</w:t>
      </w:r>
    </w:p>
    <w:p>
      <w:pPr>
        <w:spacing w:before="0" w:after="0" w:line="408" w:lineRule="exact"/>
        <w:ind w:left="0" w:right="0" w:firstLine="576"/>
        <w:jc w:val="left"/>
      </w:pPr>
      <w:r>
        <w:rPr/>
        <w:t xml:space="preserve">(iii) The social equity applicant's personal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 especially persons of color;</w:t>
      </w:r>
    </w:p>
    <w:p>
      <w:pPr>
        <w:spacing w:before="0" w:after="0" w:line="408" w:lineRule="exact"/>
        <w:ind w:left="0" w:right="0" w:firstLine="576"/>
        <w:jc w:val="left"/>
      </w:pPr>
      <w:r>
        <w:rPr/>
        <w:t xml:space="preserve">(v) Neighborhood characteristics of the location where the social equity applicant intends to operate, focusing on the disproportionate historical impacts of marijuana prohibition;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disproportionate impact and harm related to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technical assistance competitive grant program is established and is to be administered by the department.</w:t>
      </w:r>
    </w:p>
    <w:p>
      <w:pPr>
        <w:spacing w:before="0" w:after="0" w:line="408" w:lineRule="exact"/>
        <w:ind w:left="0" w:right="0" w:firstLine="576"/>
        <w:jc w:val="left"/>
      </w:pPr>
      <w:r>
        <w:rPr/>
        <w:t xml:space="preserve">(2) The technical assistance competitive grant program must award grants on a competitive basis to marijuana retailer license applicants who are submitting social equity plans under section 2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technical assistance competitive grant program include:</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micro loans;</w:t>
      </w:r>
    </w:p>
    <w:p>
      <w:pPr>
        <w:spacing w:before="0" w:after="0" w:line="408" w:lineRule="exact"/>
        <w:ind w:left="0" w:right="0" w:firstLine="576"/>
        <w:jc w:val="left"/>
      </w:pPr>
      <w:r>
        <w:rPr/>
        <w:t xml:space="preserve">(e) The purchase of equipment, software, or facilities; and</w:t>
      </w:r>
    </w:p>
    <w:p>
      <w:pPr>
        <w:spacing w:before="0" w:after="0" w:line="408" w:lineRule="exact"/>
        <w:ind w:left="0" w:right="0" w:firstLine="576"/>
        <w:jc w:val="left"/>
      </w:pPr>
      <w:r>
        <w:rPr/>
        <w:t xml:space="preserve">(f) Connecting applicants with established industry members and tribal marijuana enterprises and programs for mentoring and other forms of support approved by the liquor and cannabis board and city, town, and county authorities.</w:t>
      </w:r>
    </w:p>
    <w:p>
      <w:pPr>
        <w:spacing w:before="0" w:after="0" w:line="408" w:lineRule="exact"/>
        <w:ind w:left="0" w:right="0" w:firstLine="576"/>
        <w:jc w:val="left"/>
      </w:pPr>
      <w:r>
        <w:rPr/>
        <w:t xml:space="preserve">(3) Funding for the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w:t>
      </w:r>
      <w:r>
        <w:rPr>
          <w:u w:val="single"/>
        </w:rPr>
        <w:t xml:space="preserve">million one</w:t>
      </w:r>
      <w:r>
        <w:rPr/>
        <w:t xml:space="preserv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hundred thousand dollars annually to the department of commerce to fund the technical assistance competitive grant program under section 3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legislative task force on social equity in marijuana is established. The purpose of the task force is to make recommendations to the board including but not limited to establishing a social equity program for the issuance and reissuance of marijuana licenses.</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The liquor and cannabis board;</w:t>
      </w:r>
    </w:p>
    <w:p>
      <w:pPr>
        <w:spacing w:before="0" w:after="0" w:line="408" w:lineRule="exact"/>
        <w:ind w:left="0" w:right="0" w:firstLine="576"/>
        <w:jc w:val="left"/>
      </w:pPr>
      <w:r>
        <w:rPr/>
        <w:t xml:space="preserve">(G) The office of the attorney general; and</w:t>
      </w:r>
    </w:p>
    <w:p>
      <w:pPr>
        <w:spacing w:before="0" w:after="0" w:line="408" w:lineRule="exact"/>
        <w:ind w:left="0" w:right="0" w:firstLine="576"/>
        <w:jc w:val="left"/>
      </w:pPr>
      <w:r>
        <w:rPr/>
        <w:t xml:space="preserve">(H) The association of Washington cities;</w:t>
      </w:r>
    </w:p>
    <w:p>
      <w:pPr>
        <w:spacing w:before="0" w:after="0" w:line="408" w:lineRule="exact"/>
        <w:ind w:left="0" w:right="0" w:firstLine="576"/>
        <w:jc w:val="left"/>
      </w:pPr>
      <w:r>
        <w:rPr/>
        <w:t xml:space="preserve">(ii) Two members that currently hold a marijuana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committee,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senate committee services and the house of representatives office of program research.</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a report on recommended policies that will facilitate the development of a marijuana social equity program in Washington to the governor and the appropriate committees of the legislature by December 1, 2020. The recommendations must include whether any additional marijuana licenses should be issued beyond the total amount of marijuana licenses that have been issued as of the effective date of this section. For purposes of determining the total amount of licenses issued as of the effective date of this section, the total amount does include licenses that have been forfeited, revoked, or canceled.</w:t>
      </w:r>
    </w:p>
    <w:p>
      <w:pPr>
        <w:spacing w:before="0" w:after="0" w:line="408" w:lineRule="exact"/>
        <w:ind w:left="0" w:right="0" w:firstLine="576"/>
        <w:jc w:val="left"/>
      </w:pPr>
      <w:r>
        <w:rPr/>
        <w:t xml:space="preserve">(11) The board may adopt rules to implement the recommendations of the task force.</w:t>
      </w:r>
    </w:p>
    <w:p>
      <w:pPr>
        <w:spacing w:before="0" w:after="0" w:line="408" w:lineRule="exact"/>
        <w:ind w:left="0" w:right="0" w:firstLine="576"/>
        <w:jc w:val="left"/>
      </w:pPr>
      <w:r>
        <w:rPr/>
        <w:t xml:space="preserve">(12) This section expires June 30, 2028.</w:t>
      </w:r>
    </w:p>
    <w:p/>
    <w:p>
      <w:pPr>
        <w:jc w:val="center"/>
      </w:pPr>
      <w:r>
        <w:rPr>
          <w:b/>
        </w:rPr>
        <w:t>--- END ---</w:t>
      </w:r>
    </w:p>
    <w:sectPr>
      <w:pgNumType w:start="1"/>
      <w:footerReference xmlns:r="http://schemas.openxmlformats.org/officeDocument/2006/relationships" r:id="R2e5f90009df94e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b98e9d6a041bc" /><Relationship Type="http://schemas.openxmlformats.org/officeDocument/2006/relationships/footer" Target="/word/footer1.xml" Id="R2e5f90009df94ed5" /></Relationships>
</file>