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98d72f34f14f56" /></Relationships>
</file>

<file path=word/document.xml><?xml version="1.0" encoding="utf-8"?>
<w:document xmlns:w="http://schemas.openxmlformats.org/wordprocessingml/2006/main">
  <w:body>
    <w:p>
      <w:r>
        <w:t>H-4675.1</w:t>
      </w:r>
    </w:p>
    <w:p>
      <w:pPr>
        <w:jc w:val="center"/>
      </w:pPr>
      <w:r>
        <w:t>_______________________________________________</w:t>
      </w:r>
    </w:p>
    <w:p/>
    <w:p>
      <w:pPr>
        <w:jc w:val="center"/>
      </w:pPr>
      <w:r>
        <w:rPr>
          <w:b/>
        </w:rPr>
        <w:t>SUBSTITUTE HOUSE BILL 2892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Doglio, Ramel, and Pollet; by request of Office of the Governor)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department of ecology to regulate greenhouse gas emissions associated with persons who produce or distribute fossil fuel products that emit greenhouse gases in Washington; amending RCW 70.94.030, 70.94.331, 70.94.151, and 70.94.015; adding new sections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w:t>
      </w:r>
      <w:r>
        <w:rPr>
          <w:i/>
        </w:rPr>
        <w:t xml:space="preserve">Association of Washington Business v. Washington Department of Ecology</w:t>
      </w:r>
      <w:r>
        <w:rPr/>
        <w:t xml:space="preserve"> (No. 95885-8, January 16, 2020), the Washington supreme court held that certain regulations establishing emission standards for producers and distributors of fossil fuels were invalid because the department of ecology lacked sufficient statutory authority. The legislature intends by this act to expressly provide such authority under chapter 70.94 RCW, the clean air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030</w:t>
      </w:r>
      <w:r>
        <w:rPr/>
        <w:t xml:space="preserve"> and 2005 c 197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w:t>
      </w:r>
      <w:r>
        <w:rPr>
          <w:u w:val="single"/>
        </w:rPr>
        <w:t xml:space="preserve">direct or indirect</w:t>
      </w:r>
      <w:r>
        <w:rPr/>
        <w:t xml:space="preserve">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w:t>
      </w:r>
      <w:r>
        <w:rPr>
          <w:u w:val="single"/>
        </w:rPr>
        <w:t xml:space="preserve">direct or indirect</w:t>
      </w:r>
      <w:r>
        <w:rPr/>
        <w:t xml:space="preserve">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70.94.161.</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w:t>
      </w:r>
      <w:r>
        <w:t>((</w:t>
      </w:r>
      <w:r>
        <w:rPr>
          <w:strike/>
        </w:rPr>
        <w:t xml:space="preserve">70.94.660</w:t>
      </w:r>
      <w:r>
        <w:t>))</w:t>
      </w:r>
      <w:r>
        <w:rPr/>
        <w:t xml:space="preserve"> </w:t>
      </w:r>
      <w:r>
        <w:rPr>
          <w:u w:val="single"/>
        </w:rPr>
        <w:t xml:space="preserve">70.94.6534</w:t>
      </w:r>
      <w:r>
        <w:rPr/>
        <w:t xml:space="preserve">.</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70.94.473.</w:t>
      </w:r>
    </w:p>
    <w:p>
      <w:pPr>
        <w:spacing w:before="0" w:after="0" w:line="408" w:lineRule="exact"/>
        <w:ind w:left="0" w:right="0" w:firstLine="576"/>
        <w:jc w:val="left"/>
      </w:pPr>
      <w:r>
        <w:rPr>
          <w:u w:val="single"/>
        </w:rPr>
        <w:t xml:space="preserve">(25) "Indirect emissions" means, for purposes only of emissions of greenhouse gases as defined in RCW 70.235.010, the emissions from the production or distribution of fuels, including electricity, where the release of air contaminants into the ambient air occurs during the consumption, use, combustion, or oxidation of the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w:t>
      </w:r>
      <w:r>
        <w:rPr>
          <w:u w:val="single"/>
        </w:rPr>
        <w:t xml:space="preserve">The department or authority may require persons who produce or distribute fossil fuels or other products that emit greenhouse gases in Washington to comply with air quality standards, emission standards, or emission limits on emissions of greenhouse gases.</w:t>
      </w:r>
      <w:r>
        <w:rPr/>
        <w:t xml:space="preserve">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where those emissions from a single facility, source, or site, or from fossil fuels sold in Washington by a single supplier meet or exceed ten thousand metric tons of carbon dioxide equivalent annually. </w:t>
      </w:r>
      <w:r>
        <w:t>((</w:t>
      </w:r>
      <w:r>
        <w:rPr>
          <w:strike/>
        </w:rPr>
        <w:t xml:space="preserve">The department may phase in the requirement to report greenhouse gas emissions until the reporting threshold in this subsection is met, which must occur by January 1, 2012.</w:t>
      </w:r>
      <w:r>
        <w: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w:t>
      </w:r>
      <w:r>
        <w:t>))</w:t>
      </w:r>
      <w:r>
        <w:rPr/>
        <w:t xml:space="preserve">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w:t>
      </w:r>
      <w:r>
        <w:rPr>
          <w:u w:val="single"/>
        </w:rPr>
        <w:t xml:space="preserve">as it existed</w:t>
      </w:r>
      <w:r>
        <w:rPr/>
        <w:t xml:space="preserve"> on </w:t>
      </w:r>
      <w:r>
        <w:t>((</w:t>
      </w:r>
      <w:r>
        <w:rPr>
          <w:strike/>
        </w:rPr>
        <w:t xml:space="preserve">September 22, 2009</w:t>
      </w:r>
      <w:r>
        <w:t>))</w:t>
      </w:r>
      <w:r>
        <w:rPr/>
        <w:t xml:space="preserve"> </w:t>
      </w:r>
      <w:r>
        <w:rPr>
          <w:u w:val="single"/>
        </w:rPr>
        <w:t xml:space="preserve">January 1, 2020</w:t>
      </w:r>
      <w:r>
        <w:rPr/>
        <w:t xml:space="preserve">.</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or by the United States environmental protection agency. Prior to including additional gases to the definition of "greenhouse gas" in RCW 70.235.010,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u w:val="single"/>
        </w:rPr>
        <w:t xml:space="preserve">(v) The department may by rule modify methodologies established in 40 C.F.R. Part 98.</w:t>
      </w:r>
    </w:p>
    <w:p>
      <w:pPr>
        <w:spacing w:before="0" w:after="0" w:line="408" w:lineRule="exact"/>
        <w:ind w:left="0" w:right="0" w:firstLine="576"/>
        <w:jc w:val="left"/>
      </w:pPr>
      <w:r>
        <w:rPr>
          <w:u w:val="single"/>
        </w:rPr>
        <w:t xml:space="preserve">(vi) The department may by rule require a person to use a specific method established in 40 C.F.R. Part 98 to complete their report to the department.</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w:t>
      </w:r>
      <w:r>
        <w:rPr>
          <w:u w:val="single"/>
        </w:rPr>
        <w:t xml:space="preserve">or (b)</w:t>
      </w:r>
      <w:r>
        <w:rPr/>
        <w:t xml:space="preserve">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w:t>
      </w:r>
      <w:r>
        <w:t>((</w:t>
      </w:r>
      <w:r>
        <w:rPr>
          <w:strike/>
        </w:rPr>
        <w:t xml:space="preserve">However, neither the department nor a local air authority approved under this section are authorized to assess enforcement penalties on persons required to report under (a) of this subsection until six months after the department adopts its reporting rule in 2010.</w:t>
      </w:r>
      <w:r>
        <w:t>))</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w:t>
      </w:r>
      <w:r>
        <w:t>((</w:t>
      </w:r>
      <w:r>
        <w:rPr>
          <w:strike/>
        </w:rPr>
        <w:t xml:space="preserve">Furthermore, aircraft fuel purchased in the state may not be considered equivalent to aircraft fuel combusted in the state.</w:t>
      </w:r>
      <w:r>
        <w:t>))</w:t>
      </w:r>
    </w:p>
    <w:p>
      <w:pPr>
        <w:spacing w:before="0" w:after="0" w:line="408" w:lineRule="exact"/>
        <w:ind w:left="0" w:right="0" w:firstLine="576"/>
        <w:jc w:val="left"/>
      </w:pPr>
      <w:r>
        <w:rPr/>
        <w:t xml:space="preserve">(h) </w:t>
      </w:r>
      <w:r>
        <w:rPr>
          <w:u w:val="single"/>
        </w:rPr>
        <w:t xml:space="preserve">The department may by rule require persons to have a third party verify their report to the department. The department retains final authority when determining the accuracy of reports submitted to the department.</w:t>
      </w:r>
    </w:p>
    <w:p>
      <w:pPr>
        <w:spacing w:before="0" w:after="0" w:line="408" w:lineRule="exact"/>
        <w:ind w:left="0" w:right="0" w:firstLine="576"/>
        <w:jc w:val="left"/>
      </w:pPr>
      <w:r>
        <w:rPr>
          <w:u w:val="single"/>
        </w:rPr>
        <w:t xml:space="preserve">(i)</w:t>
      </w:r>
      <w:r>
        <w:rPr/>
        <w:t xml:space="preserve">(i)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w:t>
      </w:r>
      <w:r>
        <w:t>((</w:t>
      </w:r>
      <w:r>
        <w:rPr>
          <w:strike/>
        </w:rPr>
        <w:t xml:space="preserve">includes</w:t>
      </w:r>
      <w:r>
        <w:t>))</w:t>
      </w:r>
      <w:r>
        <w:rPr/>
        <w:t xml:space="preserve"> </w:t>
      </w:r>
      <w:r>
        <w:rPr>
          <w:u w:val="single"/>
        </w:rPr>
        <w:t xml:space="preserve">means</w:t>
      </w:r>
      <w:r>
        <w:rPr/>
        <w:t xml:space="preserve">: (A) An owner or operator, as those terms are defined by the United States environmental protection agency in its mandatory greenhouse gas reporting regulation in 40 C.F.R. Part 98, as adopted on September 22, 2009; and (B) a supplier</w:t>
      </w:r>
      <w:r>
        <w:rPr>
          <w:u w:val="single"/>
        </w:rPr>
        <w:t xml:space="preserve">. However, the department may adopt rules that amend these United States environmental protection agency definitions to address differences in state and federal boundaries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department must adopt rules under this chapter to regulate greenhouse gases as defined in RCW 70.235.010 that take effect no earlier than July 1, 2021.</w:t>
      </w:r>
    </w:p>
    <w:p>
      <w:pPr>
        <w:spacing w:before="0" w:after="0" w:line="408" w:lineRule="exact"/>
        <w:ind w:left="0" w:right="0" w:firstLine="576"/>
        <w:jc w:val="left"/>
      </w:pPr>
      <w:r>
        <w:rPr/>
        <w:t xml:space="preserve">(2) For the purposes of any rules adopted by the department to regulate greenhouse gases under this chapter, the department may:</w:t>
      </w:r>
    </w:p>
    <w:p>
      <w:pPr>
        <w:spacing w:before="0" w:after="0" w:line="408" w:lineRule="exact"/>
        <w:ind w:left="0" w:right="0" w:firstLine="576"/>
        <w:jc w:val="left"/>
      </w:pPr>
      <w:r>
        <w:rPr/>
        <w:t xml:space="preserve">(a) Determine, assess, and collect annual fees from persons subject to the rules in an amount sufficient to cover the direct and indirect costs of administering and enforcing the requirements of the rules;</w:t>
      </w:r>
    </w:p>
    <w:p>
      <w:pPr>
        <w:spacing w:before="0" w:after="0" w:line="408" w:lineRule="exact"/>
        <w:ind w:left="0" w:right="0" w:firstLine="576"/>
        <w:jc w:val="left"/>
      </w:pPr>
      <w:r>
        <w:rPr/>
        <w:t xml:space="preserve">(b) Rely upon market-based mechanisms, including bankable, tradeable credits or emission reduction units to achieve greenhouse gas emission reductions, as long as such mechanisms are not auctioned or sold by the state to persons subject to the rules; and</w:t>
      </w:r>
    </w:p>
    <w:p>
      <w:pPr>
        <w:spacing w:before="0" w:after="0" w:line="408" w:lineRule="exact"/>
        <w:ind w:left="0" w:right="0" w:firstLine="576"/>
        <w:jc w:val="left"/>
      </w:pPr>
      <w:r>
        <w:rPr/>
        <w:t xml:space="preserve">(c) Identify and give special consideration to energy-intensive and trade-exposed facilities only to the extent necessary in order to address leakage.</w:t>
      </w:r>
    </w:p>
    <w:p>
      <w:pPr>
        <w:spacing w:before="0" w:after="0" w:line="408" w:lineRule="exact"/>
        <w:ind w:left="0" w:right="0" w:firstLine="576"/>
        <w:jc w:val="left"/>
      </w:pPr>
      <w:r>
        <w:rPr/>
        <w:t xml:space="preserve">(3) For the purposes of this section, "leakage" means a reduction in emissions of greenhouse gases within the state that is offset by an increase in emissions of greenhouse gas emissions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2019 c 284 s 6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70.94.6528 </w:t>
      </w:r>
      <w:r>
        <w:t>((</w:t>
      </w:r>
      <w:r>
        <w:rPr>
          <w:strike/>
        </w:rPr>
        <w:t xml:space="preserve">and</w:t>
      </w:r>
      <w:r>
        <w:t>))</w:t>
      </w:r>
      <w:r>
        <w:rPr>
          <w:u w:val="single"/>
        </w:rPr>
        <w:t xml:space="preserve">,</w:t>
      </w:r>
      <w:r>
        <w:rPr/>
        <w:t xml:space="preserve"> 70.94.6534</w:t>
      </w:r>
      <w:r>
        <w:rPr>
          <w:u w:val="single"/>
        </w:rPr>
        <w:t xml:space="preserve">, and section 5 of this act</w:t>
      </w:r>
      <w:r>
        <w:rPr/>
        <w:t xml:space="preserve"> shall be deposited into the account. Moneys in the account may be spent only after appropriation. Expenditures from the account may be used only to develop and implement the provisions of </w:t>
      </w:r>
      <w:r>
        <w:t>((</w:t>
      </w:r>
      <w:r>
        <w:rPr>
          <w:strike/>
        </w:rPr>
        <w:t xml:space="preserve">chapters 70.94 and</w:t>
      </w:r>
      <w:r>
        <w:t>))</w:t>
      </w:r>
      <w:r>
        <w:rPr/>
        <w:t xml:space="preserve"> </w:t>
      </w:r>
      <w:r>
        <w:rPr>
          <w:u w:val="single"/>
        </w:rPr>
        <w:t xml:space="preserve">this chapter and chapter</w:t>
      </w:r>
      <w:r>
        <w:rPr/>
        <w:t xml:space="preserve"> 70.120 RCW and RCW 70.235.080.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The provisions of this act, the powers granted herein, and any requirements or standards established pursuant to those powers, shall be null and void in their entirety upon enactment of a more comprehensive program addressing greenhouse gas emissions, including but not limited to a cap and trade system or a tax on greenhouse gas emissions. For the purposes of this section, a more comprehensive greenhouse gas emission program is a program that puts a price on emissions associated with direct or indirect fossil fuel sources and that is designed and forecasted, using models developed by state agencies with subject matter expertise, to achieve the emission reduction limits established in RCW 70.235.020. Upon determining that a more comprehensive greenhouse gas emission program has been enacted, the department of ecology shall publish a finding to that effect in the Washington State Register and submit this finding to the appropriate committees of the house of representatives and the senate. Upon publication in the Washington State Register, the act shall become null and void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fc240f100bd4e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a6e5b9b80b4165" /><Relationship Type="http://schemas.openxmlformats.org/officeDocument/2006/relationships/footer" Target="/word/footer1.xml" Id="Rcfc240f100bd4edd" /></Relationships>
</file>