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aefe17bdd4707" /></Relationships>
</file>

<file path=word/document.xml><?xml version="1.0" encoding="utf-8"?>
<w:document xmlns:w="http://schemas.openxmlformats.org/wordprocessingml/2006/main">
  <w:body>
    <w:p>
      <w:r>
        <w:t>Z-0883.1</w:t>
      </w:r>
    </w:p>
    <w:p>
      <w:pPr>
        <w:jc w:val="center"/>
      </w:pPr>
      <w:r>
        <w:t>_______________________________________________</w:t>
      </w:r>
    </w:p>
    <w:p/>
    <w:p>
      <w:pPr>
        <w:jc w:val="center"/>
      </w:pPr>
      <w:r>
        <w:rPr>
          <w:b/>
        </w:rPr>
        <w:t>HOUSE BILL 2897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Sullivan, Doglio, and Pollet; by request of Superintendent of Public Instruction</w:t>
      </w:r>
    </w:p>
    <w:p/>
    <w:p>
      <w:r>
        <w:rPr>
          <w:t xml:space="preserve">Read first time 01/29/20.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staff funding for school districts; amending RCW 28A.150.260 and 28A.150.415;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2014 Washington's voters approved Initiative 1351, which amended the state's basic education funding formulas by increasing the minimum K-12 staffing ratios that drive state basic education funding to local school districts.</w:t>
      </w:r>
    </w:p>
    <w:p>
      <w:pPr>
        <w:spacing w:before="0" w:after="0" w:line="408" w:lineRule="exact"/>
        <w:ind w:left="0" w:right="0" w:firstLine="576"/>
        <w:jc w:val="left"/>
      </w:pPr>
      <w:r>
        <w:rPr/>
        <w:t xml:space="preserve">The legislature also finds that the 2017 legislature repealed the phase-in of the voter-approved initiative with the enactment of chapter 13, Laws of 2017 3rd sp. sess., in which the legislature identified their intent to review and prioritize future K-12 staffing ratio increases to focus on reducing the opportunity gap, assisting struggling students, enhancing the educational outcomes for students, and strengthening support for all students through schools and school district staff. The legislature also finds that chapter 13, Laws of 2017 3rd sp. sess. created the staffing enrichment work group of education stakeholders to recommend a phase-in plan for the voter-approved K-12 staffing enrichments.</w:t>
      </w:r>
    </w:p>
    <w:p>
      <w:pPr>
        <w:spacing w:before="0" w:after="0" w:line="408" w:lineRule="exact"/>
        <w:ind w:left="0" w:right="0" w:firstLine="576"/>
        <w:jc w:val="left"/>
      </w:pPr>
      <w:r>
        <w:rPr/>
        <w:t xml:space="preserve">The legislature intends to reestablish a phase-in schedule for the K-12 staffing enhancements approved by voters by focusing first on meeting students' needs for safety as well as mental, social, emotional, and behavioral health, by providing impactful professional development to all staff and by increasing the flexibility, transparency, and accountability of local communities.</w:t>
      </w:r>
    </w:p>
    <w:p>
      <w:pPr>
        <w:spacing w:before="0" w:after="0" w:line="408" w:lineRule="exact"/>
        <w:ind w:left="0" w:right="0" w:firstLine="576"/>
        <w:jc w:val="left"/>
      </w:pPr>
      <w:r>
        <w:rPr/>
        <w:t xml:space="preserve">The legislature finds that the current staffing ratios result from a legislatively commissioned study by Miller and Associates in 1975 to conduct an extensive study of problems related to common school financing and operations. The legislature finds that the recommendations of this report, which were adopted into law in the basic education act of 1977 (section 5, chapter 359, Laws of 1977 1st ex. sess.), proposed a new funding formula of fifty certificated instructional staff per one thousand students and 16.67 classified staff per one thousand students based upon the actual staffing ratios of a survey of a subset of districts in school year 1974–75. The legislature finds only three components of the basic education staffing ratios have been increased above this level: Kindergarten through third grade class size reductions; increases to guidance counselors; and the addition of a proportion of an elementary parent involvement coordinator.</w:t>
      </w:r>
    </w:p>
    <w:p>
      <w:pPr>
        <w:spacing w:before="0" w:after="0" w:line="408" w:lineRule="exact"/>
        <w:ind w:left="0" w:right="0" w:firstLine="576"/>
        <w:jc w:val="left"/>
      </w:pPr>
      <w:r>
        <w:rPr/>
        <w:t xml:space="preserve">The legislature intends to modernize the K-12 staffing ratios and provide funding for the program of basic education that reflects the current needs of students and the legislatively created programmatic requirements for a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w:t>
      </w:r>
      <w:r>
        <w:t>))</w:t>
      </w:r>
      <w:r>
        <w:rPr/>
        <w:t xml:space="preserve"> </w:t>
      </w:r>
      <w:r>
        <w:rPr>
          <w:u w:val="single"/>
        </w:rPr>
        <w:t xml:space="preserve">five</w:t>
      </w:r>
      <w:r>
        <w:rPr/>
        <w:t xml:space="preserve"> hundred average annual full-time equivalent students in grades nine through twelve;</w:t>
      </w:r>
    </w:p>
    <w:p>
      <w:pPr>
        <w:spacing w:before="0" w:after="0" w:line="408" w:lineRule="exact"/>
        <w:ind w:left="0" w:right="0" w:firstLine="576"/>
        <w:jc w:val="left"/>
      </w:pPr>
      <w:r>
        <w:rPr/>
        <w:t xml:space="preserve">(ii) A prototypical middle school has </w:t>
      </w:r>
      <w:r>
        <w:t>((</w:t>
      </w:r>
      <w:r>
        <w:rPr>
          <w:strike/>
        </w:rPr>
        <w:t xml:space="preserve">four</w:t>
      </w:r>
      <w:r>
        <w:t>))</w:t>
      </w:r>
      <w:r>
        <w:rPr/>
        <w:t xml:space="preserve"> </w:t>
      </w:r>
      <w:r>
        <w:rPr>
          <w:u w:val="single"/>
        </w:rPr>
        <w:t xml:space="preserve">five</w:t>
      </w:r>
      <w:r>
        <w:rPr/>
        <w:t xml:space="preserve"> hundred </w:t>
      </w:r>
      <w:r>
        <w:t>((</w:t>
      </w:r>
      <w:r>
        <w:rPr>
          <w:strike/>
        </w:rPr>
        <w:t xml:space="preserve">thirty-two</w:t>
      </w:r>
      <w:r>
        <w:t>))</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w:t>
      </w:r>
      <w:r>
        <w:t>))</w:t>
      </w:r>
      <w:r>
        <w:rPr/>
        <w:t xml:space="preserve"> </w:t>
      </w:r>
      <w:r>
        <w:rPr>
          <w:u w:val="single"/>
        </w:rPr>
        <w:t xml:space="preserve">five</w:t>
      </w:r>
      <w:r>
        <w:rPr/>
        <w:t xml:space="preserve">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0" w:after="0" w:line="408" w:lineRule="exact"/>
        <w:ind w:left="0" w:right="0" w:firstLine="576"/>
        <w:jc w:val="left"/>
      </w:pPr>
      <w:r>
        <w:rPr>
          <w:u w:val="single"/>
        </w:rPr>
        <w:t xml:space="preserve">(A) The following are the minimum allocations that apply until the allocations in (a)(i)(B) of this subsection are phased in:</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u w:val="single"/>
        </w:rPr>
        <w:t xml:space="preserve">(B) No later than the 2025-26 school year:</w:t>
      </w:r>
    </w:p>
    <w:tbl>
      <w:tblPr>
        <w:tblW w:w="0" w:type="auto"/>
        <w:jc w:val="center"/>
        <w:tcMar>
          <w:tblCellMar>
            <w:top w:w="0" w:type="dxa"/>
          </w:tblCellMar>
        </w:tcMar>
        <w:tcMar>
          <w:tblCellMar>
            <w:left w:w="70" w:type="dxa"/>
            <w:right w:w="70" w:type="dxa"/>
          </w:tblCellMar>
        </w:tcMar>
      </w:tblPr>
      <w:tblGrid>
        <w:gridCol w:w="7245"/>
        <w:gridCol w:w="1755"/>
        <w:gridCol w:w="1160"/>
      </w:tblGrid>
      <w:tr>
        <w:tc>
          <w:tcPr>
            <w:tcW w:w="7245" w:type="dxa"/>
            <w:vAlign w:val="top"/>
            <w:tcMar>
              <w:left w:w="120"/>
            </w:tcMar>
            <w:tcMar>
              <w:right w:w="120"/>
            </w:tcMar>
            <w:tcMar>
              <w:top w:w="40"/>
            </w:tcMar>
            <w:tcMar>
              <w:bottom w:w="40"/>
            </w:tcMar>
          </w:tcPr>
          <w:p>
            <w:pPr>
              <w:spacing w:before="0" w:after="0" w:line="408" w:lineRule="exact"/>
              <w:ind w:left="0" w:right="0" w:firstLine="0"/>
              <w:jc w:val="left"/>
            </w:pPr>
          </w:p>
        </w:tc>
        <w:tc>
          <w:tcPr>
            <w:tcW w:w="1755" w:type="dxa"/>
            <w:vAlign w:val="top"/>
            <w:tcMar>
              <w:left w:w="120"/>
            </w:tcMar>
            <w:tcMar>
              <w:right w:w="120"/>
            </w:tcMar>
            <w:tcMar>
              <w:top w:w="40"/>
            </w:tcMar>
            <w:tcMar>
              <w:bottom w:w="40"/>
            </w:tcMar>
          </w:tcPr>
          <w:p>
            <w:pPr>
              <w:spacing w:before="120" w:after="0" w:line="408" w:lineRule="exact"/>
              <w:ind w:left="0" w:right="0" w:firstLine="0"/>
              <w:jc w:val="right"/>
            </w:pPr>
            <w:r>
              <w:rPr>
                <w:rFonts w:ascii="Times New Roman" w:hAnsi="Times New Roman"/>
                <w:sz w:val="20"/>
                <w:u w:val="single"/>
              </w:rPr>
              <w:t xml:space="preserve">General education</w:t>
            </w:r>
          </w:p>
          <w:p>
            <w:pPr>
              <w:spacing w:before="0" w:after="0" w:line="408" w:lineRule="exact"/>
              <w:ind w:left="0" w:right="0" w:firstLine="0"/>
              <w:jc w:val="right"/>
            </w:pPr>
            <w:r>
              <w:rPr>
                <w:rFonts w:ascii="Times New Roman" w:hAnsi="Times New Roman"/>
                <w:sz w:val="20"/>
                <w:u w:val="single"/>
              </w:rPr>
              <w:t xml:space="preserve">average class size</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High Poverty</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Grades K-3</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17.00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15.00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 4</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22.00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Grades 5-6</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23.00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Grades 7-8</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23.00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Grades 9-12</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23.00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CTE Grades 7-12</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19.00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19.00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Skill Center Grades 9-12</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16.00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16.00</w:t>
            </w:r>
          </w:p>
        </w:tc>
      </w:tr>
    </w:tbl>
    <w:p>
      <w:pPr>
        <w:spacing w:before="120" w:after="0" w:line="408" w:lineRule="exact"/>
        <w:ind w:left="0" w:right="0" w:firstLine="576"/>
        <w:jc w:val="left"/>
      </w:pPr>
      <w:r>
        <w:rPr>
          <w:u w:val="single"/>
        </w:rPr>
        <w:t xml:space="preserve">For the purposes of this subsection (4)(a)(i)(B), a high poverty school is one in which the three-year rolling average free and reduced-price lunch percentage exceeds fifty percent.</w:t>
      </w:r>
    </w:p>
    <w:p>
      <w:pPr>
        <w:spacing w:before="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p>
      <w:pPr>
        <w:spacing w:before="0" w:after="0" w:line="408" w:lineRule="exact"/>
        <w:ind w:left="0" w:right="0" w:firstLine="576"/>
        <w:jc w:val="left"/>
      </w:pPr>
      <w:r>
        <w:rPr>
          <w:u w:val="single"/>
        </w:rPr>
        <w:t xml:space="preserve">(a) The following are the minimum allocations that apply until the allocations in (b) of this subsection are phased in:</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1.253</w:t>
            </w:r>
            <w:r>
              <w:t>))</w:t>
            </w:r>
            <w:r>
              <w:rPr>
                <w:rFonts w:ascii="Times New Roman" w:hAnsi="Times New Roman"/>
                <w:sz w:val="20"/>
              </w:rPr>
              <w:t xml:space="preserve"> </w:t>
            </w:r>
            <w:r>
              <w:rPr>
                <w:rFonts w:ascii="Times New Roman" w:hAnsi="Times New Roman"/>
                <w:sz w:val="20"/>
                <w:u w:val="single"/>
              </w:rPr>
              <w:t xml:space="preserve">1.566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1.353</w:t>
            </w:r>
            <w:r>
              <w:t>))</w:t>
            </w:r>
            <w:r>
              <w:rPr>
                <w:rFonts w:ascii="Times New Roman" w:hAnsi="Times New Roman"/>
                <w:sz w:val="20"/>
              </w:rPr>
              <w:t xml:space="preserve"> </w:t>
            </w:r>
            <w:r>
              <w:rPr>
                <w:rFonts w:ascii="Times New Roman" w:hAnsi="Times New Roman"/>
                <w:sz w:val="20"/>
                <w:u w:val="single"/>
              </w:rPr>
              <w:t xml:space="preserve">1.566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1.880</w:t>
            </w:r>
            <w:r>
              <w:t>))</w:t>
            </w:r>
            <w:r>
              <w:rPr>
                <w:rFonts w:ascii="Times New Roman" w:hAnsi="Times New Roman"/>
                <w:sz w:val="20"/>
              </w:rPr>
              <w:t xml:space="preserve"> </w:t>
            </w:r>
            <w:r>
              <w:rPr>
                <w:rFonts w:ascii="Times New Roman" w:hAnsi="Times New Roman"/>
                <w:sz w:val="20"/>
                <w:u w:val="single"/>
              </w:rPr>
              <w:t xml:space="preserve">1.566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0.663</w:t>
            </w:r>
            <w:r>
              <w:t>))</w:t>
            </w:r>
            <w:r>
              <w:rPr>
                <w:rFonts w:ascii="Times New Roman" w:hAnsi="Times New Roman"/>
                <w:sz w:val="20"/>
              </w:rPr>
              <w:t xml:space="preserve"> </w:t>
            </w:r>
            <w:r>
              <w:rPr>
                <w:rFonts w:ascii="Times New Roman" w:hAnsi="Times New Roman"/>
                <w:sz w:val="20"/>
                <w:u w:val="single"/>
              </w:rPr>
              <w:t xml:space="preserve">0.829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0.519</w:t>
            </w:r>
            <w:r>
              <w:t>))</w:t>
            </w:r>
            <w:r>
              <w:rPr>
                <w:rFonts w:ascii="Times New Roman" w:hAnsi="Times New Roman"/>
                <w:sz w:val="20"/>
              </w:rPr>
              <w:t xml:space="preserve"> </w:t>
            </w:r>
            <w:r>
              <w:rPr>
                <w:rFonts w:ascii="Times New Roman" w:hAnsi="Times New Roman"/>
                <w:sz w:val="20"/>
                <w:u w:val="single"/>
              </w:rPr>
              <w:t xml:space="preserve">0.601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0.523</w:t>
            </w:r>
            <w:r>
              <w:t>))</w:t>
            </w:r>
            <w:r>
              <w:rPr>
                <w:rFonts w:ascii="Times New Roman" w:hAnsi="Times New Roman"/>
                <w:sz w:val="20"/>
              </w:rPr>
              <w:t xml:space="preserve"> </w:t>
            </w:r>
            <w:r>
              <w:rPr>
                <w:rFonts w:ascii="Times New Roman" w:hAnsi="Times New Roman"/>
                <w:sz w:val="20"/>
                <w:u w:val="single"/>
              </w:rPr>
              <w:t xml:space="preserve">0.436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0.076</w:t>
            </w:r>
            <w:r>
              <w:t>))</w:t>
            </w:r>
            <w:r>
              <w:rPr>
                <w:rFonts w:ascii="Times New Roman" w:hAnsi="Times New Roman"/>
                <w:sz w:val="20"/>
              </w:rPr>
              <w:t xml:space="preserve"> </w:t>
            </w:r>
            <w:r>
              <w:rPr>
                <w:rFonts w:ascii="Times New Roman" w:hAnsi="Times New Roman"/>
                <w:sz w:val="20"/>
                <w:u w:val="single"/>
              </w:rPr>
              <w:t xml:space="preserve">0.095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0.060</w:t>
            </w:r>
            <w:r>
              <w:t>))</w:t>
            </w:r>
            <w:r>
              <w:rPr>
                <w:rFonts w:ascii="Times New Roman" w:hAnsi="Times New Roman"/>
                <w:sz w:val="20"/>
              </w:rPr>
              <w:t xml:space="preserve"> </w:t>
            </w:r>
            <w:r>
              <w:rPr>
                <w:rFonts w:ascii="Times New Roman" w:hAnsi="Times New Roman"/>
                <w:sz w:val="20"/>
                <w:u w:val="single"/>
              </w:rPr>
              <w:t xml:space="preserve">0.069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0.096</w:t>
            </w:r>
            <w:r>
              <w:t>))</w:t>
            </w:r>
            <w:r>
              <w:rPr>
                <w:rFonts w:ascii="Times New Roman" w:hAnsi="Times New Roman"/>
                <w:sz w:val="20"/>
              </w:rPr>
              <w:t xml:space="preserve"> </w:t>
            </w:r>
            <w:r>
              <w:rPr>
                <w:rFonts w:ascii="Times New Roman" w:hAnsi="Times New Roman"/>
                <w:sz w:val="20"/>
                <w:u w:val="single"/>
              </w:rPr>
              <w:t xml:space="preserve">0.080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0.042</w:t>
            </w:r>
            <w:r>
              <w:t>))</w:t>
            </w:r>
            <w:r>
              <w:rPr>
                <w:rFonts w:ascii="Times New Roman" w:hAnsi="Times New Roman"/>
                <w:sz w:val="20"/>
              </w:rPr>
              <w:t xml:space="preserve"> </w:t>
            </w:r>
            <w:r>
              <w:rPr>
                <w:rFonts w:ascii="Times New Roman" w:hAnsi="Times New Roman"/>
                <w:sz w:val="20"/>
                <w:u w:val="single"/>
              </w:rPr>
              <w:t xml:space="preserve">0.053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0.006</w:t>
            </w:r>
            <w:r>
              <w:t>))</w:t>
            </w:r>
            <w:r>
              <w:rPr>
                <w:rFonts w:ascii="Times New Roman" w:hAnsi="Times New Roman"/>
                <w:sz w:val="20"/>
              </w:rPr>
              <w:t xml:space="preserve"> </w:t>
            </w:r>
            <w:r>
              <w:rPr>
                <w:rFonts w:ascii="Times New Roman" w:hAnsi="Times New Roman"/>
                <w:sz w:val="20"/>
                <w:u w:val="single"/>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0.015</w:t>
            </w:r>
            <w:r>
              <w:t>))</w:t>
            </w:r>
            <w:r>
              <w:rPr>
                <w:rFonts w:ascii="Times New Roman" w:hAnsi="Times New Roman"/>
                <w:sz w:val="20"/>
              </w:rPr>
              <w:t xml:space="preserve"> </w:t>
            </w:r>
            <w:r>
              <w:rPr>
                <w:rFonts w:ascii="Times New Roman" w:hAnsi="Times New Roman"/>
                <w:sz w:val="20"/>
                <w:u w:val="single"/>
              </w:rPr>
              <w:t xml:space="preserve">0.013</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0.017</w:t>
            </w:r>
            <w:r>
              <w:t>))</w:t>
            </w:r>
            <w:r>
              <w:rPr>
                <w:rFonts w:ascii="Times New Roman" w:hAnsi="Times New Roman"/>
                <w:sz w:val="20"/>
              </w:rPr>
              <w:t xml:space="preserve"> </w:t>
            </w:r>
            <w:r>
              <w:rPr>
                <w:rFonts w:ascii="Times New Roman" w:hAnsi="Times New Roman"/>
                <w:sz w:val="20"/>
                <w:u w:val="single"/>
              </w:rPr>
              <w:t xml:space="preserve">0.021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0.007</w:t>
            </w:r>
            <w:r>
              <w:t>))</w:t>
            </w:r>
            <w:r>
              <w:rPr>
                <w:rFonts w:ascii="Times New Roman" w:hAnsi="Times New Roman"/>
                <w:sz w:val="20"/>
              </w:rPr>
              <w:t xml:space="preserve"> </w:t>
            </w:r>
            <w:r>
              <w:rPr>
                <w:rFonts w:ascii="Times New Roman" w:hAnsi="Times New Roman"/>
                <w:sz w:val="20"/>
                <w:u w:val="single"/>
              </w:rPr>
              <w:t xml:space="preserve">0.006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Guidance</w:t>
            </w:r>
            <w:r>
              <w:t>))</w:t>
            </w:r>
            <w:r>
              <w:rPr>
                <w:rFonts w:ascii="Times New Roman" w:hAnsi="Times New Roman"/>
                <w:sz w:val="20"/>
              </w:rPr>
              <w:t xml:space="preserve"> </w:t>
            </w:r>
            <w:r>
              <w:rPr>
                <w:rFonts w:ascii="Times New Roman" w:hAnsi="Times New Roman"/>
                <w:sz w:val="20"/>
                <w:u w:val="single"/>
              </w:rPr>
              <w:t xml:space="preserve">School</w:t>
            </w:r>
            <w:r>
              <w:rPr>
                <w:rFonts w:ascii="Times New Roman" w:hAnsi="Times New Roman"/>
                <w:sz w:val="20"/>
              </w:rPr>
              <w:t xml:space="preserv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0.493</w:t>
            </w:r>
            <w:r>
              <w:t>))</w:t>
            </w:r>
            <w:r>
              <w:rPr>
                <w:rFonts w:ascii="Times New Roman" w:hAnsi="Times New Roman"/>
                <w:sz w:val="20"/>
              </w:rPr>
              <w:t xml:space="preserve"> </w:t>
            </w:r>
            <w:r>
              <w:rPr>
                <w:rFonts w:ascii="Times New Roman" w:hAnsi="Times New Roman"/>
                <w:sz w:val="20"/>
                <w:u w:val="single"/>
              </w:rPr>
              <w:t xml:space="preserve">0.616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1.407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2.539</w:t>
            </w:r>
            <w:r>
              <w:t>))</w:t>
            </w:r>
            <w:r>
              <w:rPr>
                <w:rFonts w:ascii="Times New Roman" w:hAnsi="Times New Roman"/>
                <w:sz w:val="20"/>
              </w:rPr>
              <w:t xml:space="preserve"> </w:t>
            </w:r>
            <w:r>
              <w:rPr>
                <w:rFonts w:ascii="Times New Roman" w:hAnsi="Times New Roman"/>
                <w:sz w:val="20"/>
                <w:u w:val="single"/>
              </w:rPr>
              <w:t xml:space="preserve">2.116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r>
              <w:rPr>
                <w:rFonts w:ascii="Times New Roman" w:hAnsi="Times New Roman"/>
                <w:sz w:val="20"/>
              </w:rPr>
              <w:t xml:space="preserve"> </w:t>
            </w:r>
            <w:r>
              <w:rPr>
                <w:rFonts w:ascii="Times New Roman" w:hAnsi="Times New Roman"/>
                <w:sz w:val="20"/>
                <w:u w:val="single"/>
              </w:rPr>
              <w:t xml:space="preserve">1.170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r>
              <w:rPr>
                <w:rFonts w:ascii="Times New Roman" w:hAnsi="Times New Roman"/>
                <w:sz w:val="20"/>
              </w:rPr>
              <w:t xml:space="preserve"> </w:t>
            </w:r>
            <w:r>
              <w:rPr>
                <w:rFonts w:ascii="Times New Roman" w:hAnsi="Times New Roman"/>
                <w:sz w:val="20"/>
                <w:u w:val="single"/>
              </w:rPr>
              <w:t xml:space="preserve">0.810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r>
              <w:rPr>
                <w:rFonts w:ascii="Times New Roman" w:hAnsi="Times New Roman"/>
                <w:sz w:val="20"/>
              </w:rPr>
              <w:t xml:space="preserve"> </w:t>
            </w:r>
            <w:r>
              <w:rPr>
                <w:rFonts w:ascii="Times New Roman" w:hAnsi="Times New Roman"/>
                <w:sz w:val="20"/>
                <w:u w:val="single"/>
              </w:rPr>
              <w:t xml:space="preserve">0.543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r>
              <w:rPr>
                <w:rFonts w:ascii="Times New Roman" w:hAnsi="Times New Roman"/>
                <w:sz w:val="20"/>
              </w:rPr>
              <w:t xml:space="preserve"> </w:t>
            </w:r>
            <w:r>
              <w:rPr>
                <w:rFonts w:ascii="Times New Roman" w:hAnsi="Times New Roman"/>
                <w:sz w:val="20"/>
                <w:u w:val="single"/>
              </w:rPr>
              <w:t xml:space="preserve">2.515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r>
              <w:rPr>
                <w:rFonts w:ascii="Times New Roman" w:hAnsi="Times New Roman"/>
                <w:sz w:val="20"/>
              </w:rPr>
              <w:t xml:space="preserve"> </w:t>
            </w:r>
            <w:r>
              <w:rPr>
                <w:rFonts w:ascii="Times New Roman" w:hAnsi="Times New Roman"/>
                <w:sz w:val="20"/>
                <w:u w:val="single"/>
              </w:rPr>
              <w:t xml:space="preserve">2.691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r>
              <w:rPr>
                <w:rFonts w:ascii="Times New Roman" w:hAnsi="Times New Roman"/>
                <w:sz w:val="20"/>
              </w:rPr>
              <w:t xml:space="preserve"> </w:t>
            </w:r>
            <w:r>
              <w:rPr>
                <w:rFonts w:ascii="Times New Roman" w:hAnsi="Times New Roman"/>
                <w:sz w:val="20"/>
                <w:u w:val="single"/>
              </w:rPr>
              <w:t xml:space="preserve">2.724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1.657</w:t>
            </w:r>
            <w:r>
              <w:t>))</w:t>
            </w:r>
            <w:r>
              <w:rPr>
                <w:rFonts w:ascii="Times New Roman" w:hAnsi="Times New Roman"/>
                <w:sz w:val="20"/>
              </w:rPr>
              <w:t xml:space="preserve"> </w:t>
            </w:r>
            <w:r>
              <w:rPr>
                <w:rFonts w:ascii="Times New Roman" w:hAnsi="Times New Roman"/>
                <w:sz w:val="20"/>
                <w:u w:val="single"/>
              </w:rPr>
              <w:t xml:space="preserve">2.071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1.942</w:t>
            </w:r>
            <w:r>
              <w:t>))</w:t>
            </w:r>
            <w:r>
              <w:rPr>
                <w:rFonts w:ascii="Times New Roman" w:hAnsi="Times New Roman"/>
                <w:sz w:val="20"/>
              </w:rPr>
              <w:t xml:space="preserve"> </w:t>
            </w:r>
            <w:r>
              <w:rPr>
                <w:rFonts w:ascii="Times New Roman" w:hAnsi="Times New Roman"/>
                <w:sz w:val="20"/>
                <w:u w:val="single"/>
              </w:rPr>
              <w:t xml:space="preserve">2.248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2.965</w:t>
            </w:r>
            <w:r>
              <w:t>))</w:t>
            </w:r>
            <w:r>
              <w:rPr>
                <w:rFonts w:ascii="Times New Roman" w:hAnsi="Times New Roman"/>
                <w:sz w:val="20"/>
              </w:rPr>
              <w:t xml:space="preserve"> </w:t>
            </w:r>
            <w:r>
              <w:rPr>
                <w:rFonts w:ascii="Times New Roman" w:hAnsi="Times New Roman"/>
                <w:sz w:val="20"/>
                <w:u w:val="single"/>
              </w:rPr>
              <w:t xml:space="preserve">2.471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0.079</w:t>
            </w:r>
            <w:r>
              <w:t>))</w:t>
            </w:r>
            <w:r>
              <w:rPr>
                <w:rFonts w:ascii="Times New Roman" w:hAnsi="Times New Roman"/>
                <w:sz w:val="20"/>
              </w:rPr>
              <w:t xml:space="preserve"> </w:t>
            </w:r>
            <w:r>
              <w:rPr>
                <w:rFonts w:ascii="Times New Roman" w:hAnsi="Times New Roman"/>
                <w:sz w:val="20"/>
                <w:u w:val="single"/>
              </w:rPr>
              <w:t xml:space="preserve">0.099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0.092</w:t>
            </w:r>
            <w:r>
              <w:t>))</w:t>
            </w:r>
            <w:r>
              <w:rPr>
                <w:rFonts w:ascii="Times New Roman" w:hAnsi="Times New Roman"/>
                <w:sz w:val="20"/>
              </w:rPr>
              <w:t xml:space="preserve"> </w:t>
            </w:r>
            <w:r>
              <w:rPr>
                <w:rFonts w:ascii="Times New Roman" w:hAnsi="Times New Roman"/>
                <w:sz w:val="20"/>
                <w:u w:val="single"/>
              </w:rPr>
              <w:t xml:space="preserve">0.106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0.141</w:t>
            </w:r>
            <w:r>
              <w:t>))</w:t>
            </w:r>
            <w:r>
              <w:rPr>
                <w:rFonts w:ascii="Times New Roman" w:hAnsi="Times New Roman"/>
                <w:sz w:val="20"/>
              </w:rPr>
              <w:t xml:space="preserve"> </w:t>
            </w:r>
            <w:r>
              <w:rPr>
                <w:rFonts w:ascii="Times New Roman" w:hAnsi="Times New Roman"/>
                <w:sz w:val="20"/>
                <w:u w:val="single"/>
              </w:rPr>
              <w:t xml:space="preserve">0.118</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Parent</w:t>
            </w:r>
            <w:r>
              <w:t>))</w:t>
            </w:r>
            <w:r>
              <w:rPr>
                <w:rFonts w:ascii="Times New Roman" w:hAnsi="Times New Roman"/>
                <w:sz w:val="20"/>
              </w:rPr>
              <w:t xml:space="preserve"> </w:t>
            </w:r>
            <w:r>
              <w:rPr>
                <w:rFonts w:ascii="Times New Roman" w:hAnsi="Times New Roman"/>
                <w:sz w:val="20"/>
                <w:u w:val="single"/>
              </w:rPr>
              <w:t xml:space="preserve">Family</w:t>
            </w:r>
            <w:r>
              <w:rPr>
                <w:rFonts w:ascii="Times New Roman" w:hAnsi="Times New Roman"/>
                <w:sz w:val="20"/>
              </w:rPr>
              <w:t xml:space="preserve">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0.0825</w:t>
            </w:r>
            <w:r>
              <w:t>))</w:t>
            </w:r>
            <w:r>
              <w:rPr>
                <w:rFonts w:ascii="Times New Roman" w:hAnsi="Times New Roman"/>
                <w:sz w:val="20"/>
              </w:rPr>
              <w:t xml:space="preserve"> </w:t>
            </w:r>
            <w:r>
              <w:rPr>
                <w:rFonts w:ascii="Times New Roman" w:hAnsi="Times New Roman"/>
                <w:sz w:val="20"/>
                <w:u w:val="single"/>
              </w:rPr>
              <w:t xml:space="preserve">0.103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 No later than the 2022-23 school year, and until the allocations in (c) of this subsection are phased in:</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Principals, assistant principals, and other certificated building</w:t>
            </w:r>
            <w:r>
              <w:rPr>
                <w:rFonts w:ascii="Times New Roman" w:hAnsi="Times New Roman"/>
                <w:sz w:val="20"/>
              </w:rPr>
              <w:noBreakHyphen/>
            </w:r>
            <w:r>
              <w:rPr>
                <w:rFonts w:ascii="Times New Roman" w:hAnsi="Times New Roman"/>
                <w:sz w:val="20"/>
                <w:u w:val="single"/>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1.677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0.829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0.601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0.436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0.731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0.687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0.389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0.625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2.315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2.917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Paraeducators,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0.810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0.543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2.691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2.071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2.248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2.471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0.810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1.083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Family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0.833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Continuous improvement coaches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0.833</w:t>
            </w:r>
          </w:p>
        </w:tc>
      </w:tr>
    </w:tbl>
    <w:p>
      <w:pPr>
        <w:spacing w:before="0" w:after="0" w:line="408" w:lineRule="exact"/>
        <w:ind w:left="0" w:right="0" w:firstLine="576"/>
        <w:jc w:val="left"/>
      </w:pPr>
      <w:r>
        <w:rPr>
          <w:u w:val="single"/>
        </w:rPr>
        <w:t xml:space="preserve">(c) No later than the 2025-26 school year:</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Principals, assistant principals, and other certificated building-level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1.677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1.667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0.833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0.713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0.687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0.389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0.625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2.315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2.917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Paraeducators,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0.833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4.051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2.917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0.810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1.083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Family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0.833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Continuous improvement coaches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0.833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w:t>
      </w:r>
      <w:r>
        <w:t>((</w:t>
      </w:r>
      <w:r>
        <w:rPr>
          <w:strike/>
        </w:rPr>
        <w:t xml:space="preserve">one thousand</w:t>
      </w:r>
      <w:r>
        <w:t>))</w:t>
      </w:r>
      <w:r>
        <w:rPr/>
        <w:t xml:space="preserve"> </w:t>
      </w:r>
      <w:r>
        <w:rPr>
          <w:u w:val="single"/>
        </w:rPr>
        <w:t xml:space="preserve">five hundred</w:t>
      </w:r>
      <w:r>
        <w:rPr/>
        <w:t xml:space="preserve"> annual average full</w:t>
      </w:r>
      <w:r>
        <w:rPr/>
        <w:noBreakHyphen/>
      </w:r>
      <w:r>
        <w:rPr/>
        <w:t xml:space="preserve">time equivalent students in grades K</w:t>
      </w:r>
      <w:r>
        <w:rPr/>
        <w:noBreakHyphen/>
      </w:r>
      <w:r>
        <w:rPr/>
        <w:t xml:space="preserve">12 as follows:</w:t>
      </w:r>
    </w:p>
    <w:p>
      <w:pPr>
        <w:spacing w:before="0" w:after="0" w:line="408" w:lineRule="exact"/>
        <w:ind w:left="0" w:right="0" w:firstLine="576"/>
        <w:jc w:val="left"/>
      </w:pPr>
      <w:r>
        <w:rPr>
          <w:u w:val="single"/>
        </w:rPr>
        <w:t xml:space="preserve">(i) The following are the minimum allocations that apply until the allocations in (a)(ii) of this subsection are phased in:</w:t>
      </w:r>
    </w:p>
    <w:p>
      <w:pPr>
        <w:spacing w:before="120" w:after="0" w:line="408" w:lineRule="exact"/>
        <w:ind w:left="0" w:right="0" w:firstLine="0"/>
        <w:jc w:val="right"/>
      </w:pPr>
      <w:r>
        <w:rPr/>
        <w:t xml:space="preserve">Staff per </w:t>
      </w:r>
      <w:r>
        <w:t>((</w:t>
      </w:r>
      <w:r>
        <w:rPr>
          <w:strike/>
        </w:rPr>
        <w:t xml:space="preserve">1,000</w:t>
      </w:r>
      <w:r>
        <w:t>))</w:t>
      </w:r>
      <w:r>
        <w:rPr/>
        <w:t xml:space="preserve"> </w:t>
      </w:r>
      <w:r>
        <w:rPr>
          <w:u w:val="single"/>
        </w:rPr>
        <w:t xml:space="preserve">500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t>((</w:t>
      </w:r>
      <w:r>
        <w:rPr>
          <w:strike/>
        </w:rPr>
        <w:t xml:space="preserve">0.628</w:t>
      </w:r>
      <w:r>
        <w:t>))</w:t>
      </w:r>
      <w:r>
        <w:rPr/>
        <w:t xml:space="preserve"> </w:t>
      </w:r>
      <w:r>
        <w:rPr>
          <w:u w:val="single"/>
        </w:rPr>
        <w:t xml:space="preserve">0.314</w:t>
      </w:r>
    </w:p>
    <w:p>
      <w:pPr>
        <w:spacing w:before="0" w:after="0" w:line="408" w:lineRule="exact"/>
        <w:ind w:left="0" w:right="0" w:firstLine="0"/>
        <w:jc w:val="left"/>
        <w:tabs>
          <w:tab w:val="right" w:leader="dot" w:pos="9936"/>
        </w:tabs>
      </w:pPr>
      <w:r>
        <w:rPr/>
        <w:t xml:space="preserve">Facilities, maintenance, and grounds</w:t>
      </w:r>
      <w:r>
        <w:tab/>
      </w:r>
      <w:r>
        <w:t>((</w:t>
      </w:r>
      <w:r>
        <w:rPr>
          <w:strike/>
        </w:rPr>
        <w:t xml:space="preserve">1.813</w:t>
      </w:r>
      <w:r>
        <w:t>))</w:t>
      </w:r>
      <w:r>
        <w:rPr/>
        <w:t xml:space="preserve"> </w:t>
      </w:r>
      <w:r>
        <w:rPr>
          <w:u w:val="single"/>
        </w:rPr>
        <w:t xml:space="preserve">0.907</w:t>
      </w:r>
    </w:p>
    <w:p>
      <w:pPr>
        <w:spacing w:before="0" w:after="0" w:line="408" w:lineRule="exact"/>
        <w:ind w:left="0" w:right="0" w:firstLine="0"/>
        <w:jc w:val="left"/>
        <w:tabs>
          <w:tab w:val="right" w:leader="dot" w:pos="9936"/>
        </w:tabs>
      </w:pPr>
      <w:r>
        <w:rPr/>
        <w:t xml:space="preserve">Warehouse, laborers, and mechanics</w:t>
      </w:r>
      <w:r>
        <w:tab/>
      </w:r>
      <w:r>
        <w:t>((</w:t>
      </w:r>
      <w:r>
        <w:rPr>
          <w:strike/>
        </w:rPr>
        <w:t xml:space="preserve">0.332</w:t>
      </w:r>
      <w:r>
        <w:t>))</w:t>
      </w:r>
      <w:r>
        <w:rPr/>
        <w:t xml:space="preserve"> </w:t>
      </w:r>
      <w:r>
        <w:rPr>
          <w:u w:val="single"/>
        </w:rPr>
        <w:t xml:space="preserve">0.166</w:t>
      </w:r>
    </w:p>
    <w:p>
      <w:pPr>
        <w:spacing w:before="120" w:after="0" w:line="408" w:lineRule="exact"/>
        <w:ind w:left="0" w:right="0" w:firstLine="576"/>
        <w:jc w:val="left"/>
      </w:pPr>
      <w:r>
        <w:rPr>
          <w:u w:val="single"/>
        </w:rPr>
        <w:t xml:space="preserve">(ii) No later than the 2025-26 school year:</w:t>
      </w:r>
    </w:p>
    <w:p>
      <w:pPr>
        <w:spacing w:before="120" w:after="0" w:line="408" w:lineRule="exact"/>
        <w:ind w:left="0" w:right="0" w:firstLine="0"/>
        <w:jc w:val="right"/>
      </w:pPr>
      <w:r>
        <w:rPr>
          <w:u w:val="single"/>
        </w:rPr>
        <w:t xml:space="preserve">Staff per 500</w:t>
      </w:r>
    </w:p>
    <w:p>
      <w:pPr>
        <w:spacing w:before="0" w:after="0" w:line="408" w:lineRule="exact"/>
        <w:ind w:left="0" w:right="0" w:firstLine="0"/>
        <w:jc w:val="right"/>
      </w:pPr>
      <w:r>
        <w:rPr>
          <w:u w:val="single"/>
        </w:rPr>
        <w:t xml:space="preserve">K-12 students</w:t>
      </w:r>
    </w:p>
    <w:p>
      <w:pPr>
        <w:spacing w:before="0" w:after="0" w:line="408" w:lineRule="exact"/>
        <w:ind w:left="0" w:right="0" w:firstLine="0"/>
        <w:jc w:val="left"/>
        <w:tabs>
          <w:tab w:val="right" w:leader="dot" w:pos="9936"/>
        </w:tabs>
      </w:pPr>
      <w:r>
        <w:rPr>
          <w:u w:val="single"/>
        </w:rPr>
        <w:t xml:space="preserve">Technology</w:t>
      </w:r>
      <w:r>
        <w:tab/>
      </w:r>
      <w:r>
        <w:rPr>
          <w:u w:val="single"/>
        </w:rPr>
        <w:t xml:space="preserve">1.400</w:t>
      </w:r>
    </w:p>
    <w:p>
      <w:pPr>
        <w:spacing w:before="0" w:after="0" w:line="408" w:lineRule="exact"/>
        <w:ind w:left="0" w:right="0" w:firstLine="0"/>
        <w:jc w:val="left"/>
        <w:tabs>
          <w:tab w:val="right" w:leader="dot" w:pos="9936"/>
        </w:tabs>
      </w:pPr>
      <w:r>
        <w:rPr>
          <w:u w:val="single"/>
        </w:rPr>
        <w:t xml:space="preserve">Facilities, maintenance, and grounds</w:t>
      </w:r>
      <w:r>
        <w:tab/>
      </w:r>
      <w:r>
        <w:rPr>
          <w:u w:val="single"/>
        </w:rPr>
        <w:t xml:space="preserve">2.000</w:t>
      </w:r>
    </w:p>
    <w:p>
      <w:pPr>
        <w:spacing w:before="0" w:after="0" w:line="408" w:lineRule="exact"/>
        <w:ind w:left="0" w:right="0" w:firstLine="0"/>
        <w:jc w:val="left"/>
        <w:tabs>
          <w:tab w:val="right" w:leader="dot" w:pos="9936"/>
        </w:tabs>
      </w:pPr>
      <w:r>
        <w:rPr>
          <w:u w:val="single"/>
        </w:rPr>
        <w:t xml:space="preserve">Warehouse, laborers, and mechanics</w:t>
      </w:r>
      <w:r>
        <w:tab/>
      </w:r>
      <w:r>
        <w:rPr>
          <w:u w:val="single"/>
        </w:rPr>
        <w:t xml:space="preserve">0.950</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2019 c 387 s 3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Beginning with the 2020-2021 school year, the legislature shall begin phasing in funding for professional learning days for all state-funded school staff in equal, annual increments.</w:t>
      </w:r>
    </w:p>
    <w:p>
      <w:pPr>
        <w:spacing w:before="0" w:after="0" w:line="408" w:lineRule="exact"/>
        <w:ind w:left="0" w:right="0" w:firstLine="576"/>
        <w:jc w:val="left"/>
      </w:pPr>
      <w:r>
        <w:rPr>
          <w:u w:val="single"/>
        </w:rPr>
        <w:t xml:space="preserve">(a) Before the 2022-23 school year, the state must allocate funding for a minimum of the following:</w:t>
      </w:r>
    </w:p>
    <w:p>
      <w:pPr>
        <w:spacing w:before="0" w:after="0" w:line="408" w:lineRule="exact"/>
        <w:ind w:left="0" w:right="0" w:firstLine="576"/>
        <w:jc w:val="left"/>
      </w:pPr>
      <w:r>
        <w:rPr>
          <w:u w:val="single"/>
        </w:rPr>
        <w:t xml:space="preserve">(i) Six days for certificated instructional staff;</w:t>
      </w:r>
    </w:p>
    <w:p>
      <w:pPr>
        <w:spacing w:before="0" w:after="0" w:line="408" w:lineRule="exact"/>
        <w:ind w:left="0" w:right="0" w:firstLine="576"/>
        <w:jc w:val="left"/>
      </w:pPr>
      <w:r>
        <w:rPr>
          <w:u w:val="single"/>
        </w:rPr>
        <w:t xml:space="preserve">(ii) Six days for classified staff; and</w:t>
      </w:r>
    </w:p>
    <w:p>
      <w:pPr>
        <w:spacing w:before="0" w:after="0" w:line="408" w:lineRule="exact"/>
        <w:ind w:left="0" w:right="0" w:firstLine="576"/>
        <w:jc w:val="left"/>
      </w:pPr>
      <w:r>
        <w:rPr>
          <w:u w:val="single"/>
        </w:rPr>
        <w:t xml:space="preserve">(iii) Three days for certificated administrative instructional staff.</w:t>
      </w:r>
    </w:p>
    <w:p>
      <w:pPr>
        <w:spacing w:before="0" w:after="0" w:line="408" w:lineRule="exact"/>
        <w:ind w:left="0" w:right="0" w:firstLine="576"/>
        <w:jc w:val="left"/>
      </w:pPr>
      <w:r>
        <w:rPr>
          <w:u w:val="single"/>
        </w:rPr>
        <w:t xml:space="preserve">(b) Before the 2025-26 school year, the state must allocate a minimum of ten professional learning days for all state-funded school staff. Phase-in must begin with the 2023-24 school year.</w:t>
      </w:r>
    </w:p>
    <w:p>
      <w:pPr>
        <w:spacing w:before="0" w:after="0" w:line="408" w:lineRule="exact"/>
        <w:ind w:left="0" w:right="0" w:firstLine="576"/>
        <w:jc w:val="left"/>
      </w:pPr>
      <w:r>
        <w:rPr>
          <w:u w:val="single"/>
        </w:rPr>
        <w:t xml:space="preserve">(3)</w:t>
      </w:r>
      <w:r>
        <w:rPr/>
        <w:t xml:space="preserve"> 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NumType w:start="1"/>
      <w:footerReference xmlns:r="http://schemas.openxmlformats.org/officeDocument/2006/relationships" r:id="R95c4496dd20546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6db2f0fa54eda" /><Relationship Type="http://schemas.openxmlformats.org/officeDocument/2006/relationships/footer" Target="/word/footer1.xml" Id="R95c4496dd20546a8" /></Relationships>
</file>