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4199d6d90e47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1154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12,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1154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1154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Capital Budget (originally sponsored by Representative DeBolt)</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of Chehalis basin flood damage reduction and habitat restoration projects; reenacting and amending RCW 43.84.092; adding new sections to chapter 43.21A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office of Chehalis basin, established in RCW 43.21A.730, is faithfully carrying out one of the prime directives of legislative intent from chapter 194, Laws of 2016, by drafting a strategic plan and accompanying environmental assessments, as the legislation called for a Chehalis basin strategy that "must include an implementation schedule and quantified measures for evaluating the success of implementation."</w:t>
      </w:r>
    </w:p>
    <w:p>
      <w:pPr>
        <w:spacing w:before="0" w:after="0" w:line="408" w:lineRule="exact"/>
        <w:ind w:left="0" w:right="0" w:firstLine="576"/>
        <w:jc w:val="left"/>
      </w:pPr>
      <w:r>
        <w:rPr/>
        <w:t xml:space="preserve">(2) The legislature also finds that the office of Chehalis basin has been successful in its initial work to secure both state and federal funds for projects in the near term. However, specificity is needed for consideration of the long-term funding needs.</w:t>
      </w:r>
    </w:p>
    <w:p>
      <w:pPr>
        <w:spacing w:before="0" w:after="0" w:line="408" w:lineRule="exact"/>
        <w:ind w:left="0" w:right="0" w:firstLine="576"/>
        <w:jc w:val="left"/>
      </w:pPr>
      <w:r>
        <w:rPr/>
        <w:t xml:space="preserve">(3) In enacted appropriations to date, the legislature has provided significant funding for projects of the office of Chehalis basin, and it is the intent of the legislature to continue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office of Chehalis basin shall, based on the anticipation of completing the strategic plan with an implementation schedule, submit agency decision packages in preparation for the 2021-2023 fiscal biennium omnibus capital appropriations act, with a report of out-biennia detail, containing:</w:t>
      </w:r>
    </w:p>
    <w:p>
      <w:pPr>
        <w:spacing w:before="0" w:after="0" w:line="408" w:lineRule="exact"/>
        <w:ind w:left="0" w:right="0" w:firstLine="576"/>
        <w:jc w:val="left"/>
      </w:pPr>
      <w:r>
        <w:rPr/>
        <w:t xml:space="preserve">(a) A specific list of projects;</w:t>
      </w:r>
    </w:p>
    <w:p>
      <w:pPr>
        <w:spacing w:before="0" w:after="0" w:line="408" w:lineRule="exact"/>
        <w:ind w:left="0" w:right="0" w:firstLine="576"/>
        <w:jc w:val="left"/>
      </w:pPr>
      <w:r>
        <w:rPr/>
        <w:t xml:space="preserve">(b) Project costs and suggested fund sources;</w:t>
      </w:r>
    </w:p>
    <w:p>
      <w:pPr>
        <w:spacing w:before="0" w:after="0" w:line="408" w:lineRule="exact"/>
        <w:ind w:left="0" w:right="0" w:firstLine="576"/>
        <w:jc w:val="left"/>
      </w:pPr>
      <w:r>
        <w:rPr/>
        <w:t xml:space="preserve">(c) Location information; and</w:t>
      </w:r>
    </w:p>
    <w:p>
      <w:pPr>
        <w:spacing w:before="0" w:after="0" w:line="408" w:lineRule="exact"/>
        <w:ind w:left="0" w:right="0" w:firstLine="576"/>
        <w:jc w:val="left"/>
      </w:pPr>
      <w:r>
        <w:rPr/>
        <w:t xml:space="preserve">(d) A time frame, including initiation and completion.</w:t>
      </w:r>
    </w:p>
    <w:p>
      <w:pPr>
        <w:spacing w:before="0" w:after="0" w:line="408" w:lineRule="exact"/>
        <w:ind w:left="0" w:right="0" w:firstLine="576"/>
        <w:jc w:val="left"/>
      </w:pPr>
      <w:r>
        <w:rPr/>
        <w:t xml:space="preserve">(2) The total cost for all submitted projects are expected to be consistent with biennial amounts of prior requests, which were fifty million dollars in state bonds in 2017-2019 and seventy-three million two hundred thousand dollars in 2019-2021 in state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The office of Chehalis basin shall submit a report by January 1, 2021, to the legislature that meets the requirement of a finalized strategic plan containing an implementation schedule and quantified measures for evaluating the success of implementation, and the appropriate policy and fiscal committees of the legislature shall, within one hundred twenty days of the receipt, conduct a joint hearing for the purposes of: (1) Receiving a report from the office of Chehalis basin; and (2) considering potential funding strategies to achieve the implementation schedule.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The Chehalis basin taxable account is created in the state treasury. All receipts from the proceeds of taxable bonds for the office of Chehalis basin, as well as other moneys directed to the account, must be deposited in the account. Interest earned by deposits in the account will be retained in the account. Moneys in the account may be spent only after appropriation. Expenditures from the account may be used only for the purposes set out in RCW 43.21A.730 and for the payment of expenses incurred in the issuance and sale of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w:t>
      </w:r>
      <w:r>
        <w:rPr>
          <w:u w:val="single"/>
        </w:rPr>
        <w:t xml:space="preserve">the Chehalis basin taxable account,</w:t>
      </w:r>
      <w:r>
        <w:rPr/>
        <w:t xml:space="preserve">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976b3eb2b8744d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10e385ad744275" /><Relationship Type="http://schemas.openxmlformats.org/officeDocument/2006/relationships/footer" Target="/word/footer1.xml" Id="R976b3eb2b8744d3b" /></Relationships>
</file>