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43a9ae1dd044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DeBolt, Jinkins, Harris, Tharinger, Caldier, Robinson, Macri, Schmick, Stonier, Slatter, Wylie, Tarleton, Frame, Pollet, and Riccelli)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working individuals with disabilities; amending RCW 74.09.540;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2018 c 201 s 7019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w:t>
      </w:r>
      <w:r>
        <w:t>((</w:t>
      </w:r>
      <w:r>
        <w:rPr>
          <w:strike/>
        </w:rPr>
        <w:t xml:space="preserve">income, resource, and</w:t>
      </w:r>
      <w:r>
        <w:t>))</w:t>
      </w:r>
      <w:r>
        <w:rPr/>
        <w:t xml:space="preserve">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w:t>
      </w:r>
      <w:r>
        <w:rPr>
          <w:u w:val="single"/>
        </w:rPr>
        <w:t xml:space="preserve">The authority may consider a person's income when establishing cost-sharing requirements. The authority may not establish eligibility restrictions for the buy-in program based upon a person's income or maximum age.</w:t>
      </w:r>
      <w:r>
        <w:rPr/>
        <w:t xml:space="preserve"> The authority shall make every effort to coordinate benefits with employer-sponsored coverage available to the working individuals with disabilities receiving benefits under this chapter or other applicable law.</w:t>
      </w:r>
    </w:p>
    <w:p>
      <w:pPr>
        <w:spacing w:before="0" w:after="0" w:line="408" w:lineRule="exact"/>
        <w:ind w:left="0" w:right="0" w:firstLine="576"/>
        <w:jc w:val="left"/>
      </w:pPr>
      <w:r>
        <w:rPr>
          <w:u w:val="single"/>
        </w:rPr>
        <w:t xml:space="preserve">(3) The authority shall seek federal approval to exclude resources accumulated in a separate account that results from earnings during an individual's enrollment in the buy-in program when determining the individual's subsequent eligibility for another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9b324dec2064f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1cc07e2bb249a5" /><Relationship Type="http://schemas.openxmlformats.org/officeDocument/2006/relationships/footer" Target="/word/footer1.xml" Id="R89b324dec2064f98" /></Relationships>
</file>