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cd4c1ee1124a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1225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55</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27</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Jinkins, Peterson, Thai, Morgan, Macri, Senn, Appleton, Frame, Kloba, Doglio, Pollet, Hudgins, Valdez, Lovick, Lekanoff, Walen, Bergquist, Stanford, Slatter, Tarleton, Wylie, Tharinger, Fey, Gregerson, and Goodman)</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policies and requirements regarding law enforcement response to domestic violence incidents to enhance the safety of domestic violence victims, families, and officers; amending RCW 10.99.030, 10.99.040, and 9.41.345; and adding new sections to chapter 10.99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w:t>
      </w:r>
      <w:r>
        <w:t>((</w:t>
      </w:r>
      <w:r>
        <w:rPr>
          <w:strike/>
        </w:rPr>
        <w:t xml:space="preserve">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strike/>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strike/>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strike/>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strike/>
        </w:rPr>
        <w:t xml:space="preserve">(5)</w:t>
      </w:r>
      <w:r>
        <w:t>))</w:t>
      </w:r>
      <w:r>
        <w:rPr/>
        <w:t xml:space="preserve">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t>((</w:t>
      </w:r>
      <w:r>
        <w:rPr>
          <w:strike/>
        </w:rPr>
        <w:t xml:space="preserve">(7)</w:t>
      </w:r>
      <w:r>
        <w:t>))</w:t>
      </w:r>
      <w:r>
        <w:rPr/>
        <w:t xml:space="preserve"> </w:t>
      </w:r>
      <w:r>
        <w:rPr>
          <w:u w:val="single"/>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u w:val="single"/>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u w:val="single"/>
        </w:rPr>
        <w:t xml:space="preserve">(ii) Seize all firearms in plain sight or discovered pursuant to a lawful search; and</w:t>
      </w:r>
    </w:p>
    <w:p>
      <w:pPr>
        <w:spacing w:before="0" w:after="0" w:line="408" w:lineRule="exact"/>
        <w:ind w:left="0" w:right="0" w:firstLine="576"/>
        <w:jc w:val="left"/>
      </w:pPr>
      <w:r>
        <w:rPr>
          <w:u w:val="single"/>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u w:val="single"/>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u w:val="single"/>
        </w:rPr>
        <w:t xml:space="preserve">(c)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u w:val="single"/>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u w:val="single"/>
        </w:rPr>
        <w:t xml:space="preserve">(4)</w:t>
      </w:r>
      <w:r>
        <w:rPr/>
        <w:t xml:space="preserve">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w:t>
      </w:r>
      <w:r>
        <w:t>((</w:t>
      </w:r>
      <w:r>
        <w:rPr>
          <w:strike/>
        </w:rPr>
        <w:t xml:space="preserve">and</w:t>
      </w:r>
      <w:r>
        <w:t>))</w:t>
      </w:r>
      <w:r>
        <w:rPr/>
        <w:t xml:space="preserve"> (e) an order restraining your abuser from molesting or interfering with minor children in your custody</w:t>
      </w:r>
      <w:r>
        <w:rPr>
          <w:u w:val="single"/>
        </w:rPr>
        <w:t xml:space="preserve">; and (f) an order requiring your abuser to turn in any firearms and concealed pistol license in the abuser's possession or control to law enforcement and prohibiting the abuser from possessing or accessing firearms or a concealed pistol license for the duration of the civil order</w:t>
      </w:r>
      <w:r>
        <w:rPr/>
        <w:t xml:space="preserve">.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p>
    <w:p>
      <w:pPr>
        <w:spacing w:before="120" w:after="0" w:line="408" w:lineRule="exact"/>
        <w:ind w:left="0" w:right="0" w:firstLine="576"/>
        <w:jc w:val="left"/>
      </w:pPr>
      <w:r>
        <w:t>((</w:t>
      </w:r>
      <w:r>
        <w:rPr>
          <w:strike/>
        </w:rPr>
        <w:t xml:space="preserve">(8)</w:t>
      </w:r>
      <w:r>
        <w:t>))</w:t>
      </w:r>
      <w:r>
        <w:rPr/>
        <w:t xml:space="preserve"> </w:t>
      </w:r>
      <w:r>
        <w:rPr>
          <w:u w:val="single"/>
        </w:rPr>
        <w:t xml:space="preserve">(5)</w:t>
      </w:r>
      <w:r>
        <w:rPr/>
        <w:t xml:space="preserve"> The peace officer may offer, arrange, or facilitate transportation for the victim to a hospital for treatment of injuries or to a place of safety or shelter.</w:t>
      </w:r>
    </w:p>
    <w:p>
      <w:pPr>
        <w:spacing w:before="0" w:after="0" w:line="408" w:lineRule="exact"/>
        <w:ind w:left="0" w:right="0" w:firstLine="576"/>
        <w:jc w:val="left"/>
      </w:pPr>
      <w:r>
        <w:t>((</w:t>
      </w:r>
      <w:r>
        <w:rPr>
          <w:strike/>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strike/>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strike/>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strike/>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strike/>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strike/>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strike/>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r>
        <w:t>))</w:t>
      </w:r>
    </w:p>
    <w:p>
      <w:pPr>
        <w:spacing w:before="0" w:after="0" w:line="408" w:lineRule="exact"/>
        <w:ind w:left="0" w:right="0" w:firstLine="576"/>
        <w:jc w:val="left"/>
      </w:pPr>
      <w:r>
        <w:rPr>
          <w:u w:val="single"/>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the effective date of this section,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law enforcement agency shall forward the offense report regarding any incident of domestic violence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(2)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(3) Records kept pursuant to RCW 10.99.030 and this section must be made identifiable by means of a departmental code for domestic violence.</w:t>
      </w:r>
    </w:p>
    <w:p>
      <w:pPr>
        <w:spacing w:before="0" w:after="0" w:line="408" w:lineRule="exact"/>
        <w:ind w:left="0" w:right="0" w:firstLine="576"/>
        <w:jc w:val="left"/>
      </w:pPr>
      <w:r>
        <w:rPr/>
        <w:t xml:space="preserve">(4) Commencing on the effective date of this section, records of incidents of domestic violence must be submitted, in accordance with procedures described in this subsection, to the Washington association of sheriffs and police chiefs by all law enforcement agencies. The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2015 c 287 s 9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r>
        <w:rPr>
          <w:u w:val="single"/>
        </w:rPr>
        <w:t xml:space="preserve">, and shall order the defendant to surrender, and prohibit the person from possessing, all firearms, dangerous weapons, and any concealed pistol license as required in RCW 9.41.800</w:t>
      </w:r>
      <w:r>
        <w:rPr/>
        <w:t xml:space="preserve">.</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w:t>
      </w:r>
      <w:r>
        <w:rPr>
          <w:u w:val="single"/>
        </w:rPr>
        <w:t xml:space="preserve">(a)</w:t>
      </w:r>
      <w:r>
        <w:rPr/>
        <w:t xml:space="preserve">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u w:val="single"/>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u w:val="single"/>
        </w:rPr>
        <w:t xml:space="preserve">(c)</w:t>
      </w:r>
      <w:r>
        <w:rPr/>
        <w:t xml:space="preserve">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2018 c 226 s 1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r>
        <w:rPr>
          <w:u w:val="single"/>
        </w:rPr>
        <w:t xml:space="preserve">, unless the firearm was seized in connection with a domestic violence call pursuant to RCW 10.99.030, in which case the law enforcement agency must ensure that five business days have elapsed from the time the firearm was obtained</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8dc5136fd4b47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8fe069acb6450d" /><Relationship Type="http://schemas.openxmlformats.org/officeDocument/2006/relationships/footer" Target="/word/footer1.xml" Id="R88dc5136fd4b470d" /></Relationships>
</file>