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c9b9b202554a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1406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62</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33</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Robinson, Macri, Chapman, Valdez, Senn, Peterson, Kloba, Tharinger, Gregerson, Stanford, Walen, Doglio, Frame, Jinkins, Riccelli, Slatter, Ormsby, and Santos)</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investments in affordable and supportive housing; and adding a new section to chapter 82.14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the effective date of this section:</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or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the effective date of this section until twelve months after the effective date of this section:</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this section;</w:t>
      </w:r>
    </w:p>
    <w:p>
      <w:pPr>
        <w:spacing w:before="0" w:after="0" w:line="408" w:lineRule="exact"/>
        <w:ind w:left="0" w:right="0" w:firstLine="576"/>
        <w:jc w:val="left"/>
      </w:pPr>
      <w:r>
        <w:rPr/>
        <w:t xml:space="preserve">(ii) Beginning twelve months after the effective date of this section:</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the date in which this section takes effect; and</w:t>
      </w:r>
    </w:p>
    <w:p>
      <w:pPr>
        <w:spacing w:before="0" w:after="0" w:line="408" w:lineRule="exact"/>
        <w:ind w:left="0" w:right="0" w:firstLine="576"/>
        <w:jc w:val="left"/>
      </w:pPr>
      <w:r>
        <w:rPr/>
        <w:t xml:space="preserve">(B) Legislation to authorize the maximum capacity of the tax in this section within one year of the date on which this section takes effect.</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If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of new units of affordable or supportive housing.</w:t>
      </w:r>
    </w:p>
    <w:p>
      <w:pPr>
        <w:spacing w:before="0" w:after="0" w:line="408" w:lineRule="exact"/>
        <w:ind w:left="0" w:right="0" w:firstLine="576"/>
        <w:jc w:val="left"/>
      </w:pPr>
      <w:r>
        <w:rPr/>
        <w:t xml:space="preserve">(b) If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or city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b25d65c0585646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56cc975d6b45b8" /><Relationship Type="http://schemas.openxmlformats.org/officeDocument/2006/relationships/footer" Target="/word/footer1.xml" Id="Rb25d65c0585646df" /></Relationships>
</file>