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a5ab6a0e5b403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1706</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23, 2019</w:t>
            </w:r>
          </w:p>
          <w:p>
            <w:pPr>
              <w:ind w:left="0" w:right="0" w:firstLine="360"/>
            </w:pPr>
            <w:r>
              <w:t xml:space="preserve">Yeas </w:t>
              <w:t xml:space="preserve">90</w:t>
            </w:r>
            <w:r>
              <w:t xml:space="preserve">  Nays </w:t>
              <w:t xml:space="preserve">6</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17,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1706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1706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Frame, Sells, Macri, Doglio, Gregerson, Riccelli, Callan, Jinkins, Goodman, Valdez, Bergquist, Kloba, and Pollet</w:t>
      </w:r>
    </w:p>
    <w:p/>
    <w:p>
      <w:r>
        <w:rPr>
          <w:t xml:space="preserve">Read first time 01/29/19.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subminimum wage certificates for persons with disabilities; and adding a new section to chapter 49.46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Beginning July 1, 2020, no state agency may employ an individual to work under a special certificate issued under RCW 49.12.110 and 49.46.060 for the employment of individuals with disabilities at less than the minimum wage. Any special certificate issued by the director to a state agency for the employment of an individual with a disability at less than minimum wage must expire by June 30, 2020. For the purposes of this section, "state agency" means any office, department, commission, or other unit of state government.</w:t>
      </w:r>
    </w:p>
    <w:p/>
    <w:p>
      <w:pPr>
        <w:jc w:val="center"/>
      </w:pPr>
      <w:r>
        <w:rPr>
          <w:b/>
        </w:rPr>
        <w:t>--- END ---</w:t>
      </w:r>
    </w:p>
    <w:sectPr>
      <w:pgNumType w:start="1"/>
      <w:footerReference xmlns:r="http://schemas.openxmlformats.org/officeDocument/2006/relationships" r:id="Rcbba02e74c744a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1706.PL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a300c2fc7c406f" /><Relationship Type="http://schemas.openxmlformats.org/officeDocument/2006/relationships/footer" Target="/word/footer1.xml" Id="Rcbba02e74c744a46" /></Relationships>
</file>