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7ae7329ec4d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1817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2019</w:t>
            </w:r>
          </w:p>
          <w:p>
            <w:pPr>
              <w:ind w:left="0" w:right="0" w:firstLine="360"/>
            </w:pPr>
            <w:r>
              <w:t xml:space="preserve">Yeas </w:t>
              <w:t xml:space="preserve">58</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2019</w:t>
            </w:r>
          </w:p>
          <w:p>
            <w:pPr>
              <w:ind w:left="0" w:right="0" w:firstLine="360"/>
            </w:pPr>
            <w:r>
              <w:t xml:space="preserve">Yeas </w:t>
              <w:t xml:space="preserve">29</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1817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1817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Sells, Chapman, Gregerson, Ormsby,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ship and rail car support activities; environmental inspection and testing; security guard services;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 and removal; chemical purging and cleaning; refinery byproduct separation and recovery; inspection services not related to construction; and work performed that is not in an apprenticeable occupation.</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commensurate with the wages typically paid for the occupation in the applicable geographic area, subject to the following provisions:</w:t>
      </w:r>
    </w:p>
    <w:p>
      <w:pPr>
        <w:spacing w:before="0" w:after="0" w:line="408" w:lineRule="exact"/>
        <w:ind w:left="0" w:right="0" w:firstLine="576"/>
        <w:jc w:val="left"/>
      </w:pPr>
      <w:r>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2021,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2022,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2023,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2024,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three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a rate commensurate with wages typically paid for the occupation, constitutes a violation of chapter 49.17 RCW.</w:t>
      </w:r>
    </w:p>
    <w:p>
      <w:pPr>
        <w:spacing w:before="0" w:after="0" w:line="408" w:lineRule="exact"/>
        <w:ind w:left="0" w:right="0" w:firstLine="576"/>
        <w:jc w:val="left"/>
      </w:pPr>
      <w:r>
        <w:rPr/>
        <w:t xml:space="preserve">(2) The wage rate requirement of section 1(7)(b) of this act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Washington state apprenticeship and training council shall prioritize consideration of new apprenticeship programs for workers in high hazard facilities. The Washington state apprenticeship and training council shall issue a decision within six months of the acceptance of a completed application for consideration of a new state registered apprenticeship program for workers in high hazard facilities.</w:t>
      </w:r>
    </w:p>
    <w:p>
      <w:pPr>
        <w:spacing w:before="0" w:after="0" w:line="408" w:lineRule="exact"/>
        <w:ind w:left="0" w:right="0" w:firstLine="576"/>
        <w:jc w:val="left"/>
      </w:pPr>
      <w:r>
        <w:rPr/>
        <w:t xml:space="preserve">(2) This section expires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and 8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5a6a598e79ff4a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1817.PL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d9b5e941b945f0" /><Relationship Type="http://schemas.openxmlformats.org/officeDocument/2006/relationships/footer" Target="/word/footer1.xml" Id="R5a6a598e79ff4a81" /></Relationships>
</file>