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923ac61de4c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2248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DeBolt, Fey, Lekanoff, Fitzgibbon, Shewmake, Leavitt, Ramel, Ryu, Tarleton, Appleton, Ramos, Slatter, Ormsby, Macri, Wylie, Kloba, Goodman, Peterson, Hudgins, Pollet,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82.16.110, 82.16.120, 82.16.150, and 82.16.155;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2031, at which point the legislature expects to review the effectiveness of enhancing access to community solar projects.</w:t>
      </w:r>
    </w:p>
    <w:p>
      <w:pPr>
        <w:spacing w:before="0" w:after="0" w:line="408" w:lineRule="exact"/>
        <w:ind w:left="0" w:right="0" w:firstLine="576"/>
        <w:jc w:val="left"/>
      </w:pPr>
      <w:r>
        <w:rPr/>
        <w:t xml:space="preserve">(2) The legislature finds that participation of low-income customers in community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also finds that offering energy assistance through renewable energy programs, including community solar, at a discount to low-income customers is consistent with the goal and intent of RCW 80.28.068.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2031.</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December 31, 2021, for community solar and shared commercial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and shared commercial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or shared commercial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and shared commercial projects precertified as of June 30, 2020, and certified through December 31,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or shared commercial project after December 31,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(n)(i) Except as otherwise provided in (n)(ii)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(o)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2031,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twelve kilowatts but no greater than one hundred kilowatts, and that is connected behind the electric service meter, compensation must be determined in accordance with RCW 80.60.020 and provided to the metered customer receiving service at the situs of the meter.</w:t>
      </w:r>
    </w:p>
    <w:p>
      <w:pPr>
        <w:spacing w:before="0" w:after="0" w:line="408" w:lineRule="exact"/>
        <w:ind w:left="0" w:right="0" w:firstLine="576"/>
        <w:jc w:val="left"/>
      </w:pPr>
      <w:r>
        <w:rPr/>
        <w:t xml:space="preserve">(ii) For all other community solar projects, compensation must be determined at a value set by the participating utility and paid to the administrator or subscribers according to the agreement between the project and the utility.</w:t>
      </w:r>
    </w:p>
    <w:p>
      <w:pPr>
        <w:spacing w:before="0" w:after="0" w:line="408" w:lineRule="exact"/>
        <w:ind w:left="0" w:right="0" w:firstLine="576"/>
        <w:jc w:val="left"/>
      </w:pPr>
      <w:r>
        <w:rPr/>
        <w:t xml:space="preserve">(iii) An administrator may deduct ongoing administrative costs from compensation provided from power generation, provided those costs are identified in the subscription agreement.</w:t>
      </w:r>
    </w:p>
    <w:p>
      <w:pPr>
        <w:spacing w:before="0" w:after="0" w:line="408" w:lineRule="exact"/>
        <w:ind w:left="0" w:right="0" w:firstLine="576"/>
        <w:jc w:val="left"/>
      </w:pPr>
      <w:r>
        <w:rPr/>
        <w:t xml:space="preserve">(b) If the utility provides compensation for the generation of electricity to the administrator, the administrator of a community solar project must provide that compensation to the project subscribers. For ten years after certification, and by March 1st of each year following certification, the provider of compensation for the generation of electricity to the subscriber, whether the utility or the administrator, but not both,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 by January 1st of each year.</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(i) For fiscal year 2021, three hundred thousand dollars; and</w:t>
      </w:r>
    </w:p>
    <w:p>
      <w:pPr>
        <w:spacing w:before="0" w:after="0" w:line="408" w:lineRule="exact"/>
        <w:ind w:left="0" w:right="0" w:firstLine="576"/>
        <w:jc w:val="left"/>
      </w:pPr>
      <w:r>
        <w:rPr/>
        <w:t xml:space="preserve">(ii) For each biennium beginning on or after July 1, 2021, five million dollars.</w:t>
      </w:r>
    </w:p>
    <w:p>
      <w:pPr>
        <w:spacing w:before="0" w:after="0" w:line="408" w:lineRule="exact"/>
        <w:ind w:left="0" w:right="0" w:firstLine="576"/>
        <w:jc w:val="left"/>
      </w:pPr>
      <w:r>
        <w:rPr/>
        <w:t xml:space="preserve">(b) The Washington State University extension energy program will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and measures to achieve an equitable geographic distribution of community solar installations and a diversity of administrative models for community solar projects.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shall regularly publish and update guidelines for how it will manage the allocation of available funding, based on the evaluation of applications and the factors specified in (b) of this subsection.</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from sales of renewable energy credits,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cost of three dollars per watt of installed system capacity that is designated for a community solar project's qualifying subscribers. The Washington State University extension energy program may approve an application for a project that costs more or less than three dollars per watt of installed system capacity based on a review of the project, documents submitted by the project applicant, and available data. Project cost evaluations must exclude costs associated with energy storage systems.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(b)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belong to the individual subscribers, and must be kept, sold, or transferred at a subscriber's discretion, unless a contract between the subscriber and administrator clearly specifies that the attributes will be transferred to the administrator. If the nonpower attributes are sold or transferred, the utility to which the project is interconnected has the first right of refusal to procure the nonpower attributes at their fair market value.</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2033.</w:t>
      </w:r>
    </w:p>
    <w:p>
      <w:pPr>
        <w:spacing w:before="0" w:after="0" w:line="408" w:lineRule="exact"/>
        <w:ind w:left="0" w:right="0" w:firstLine="576"/>
        <w:jc w:val="left"/>
      </w:pPr>
      <w:r>
        <w:rPr/>
        <w:t xml:space="preserve">(22)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December 31,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ddf43d51cd45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0ff6ec4484feb" /><Relationship Type="http://schemas.openxmlformats.org/officeDocument/2006/relationships/footer" Target="/word/footer1.xml" Id="Re5ddf43d51cd4576" /></Relationships>
</file>