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dd15a62e64e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Eslick, Frame,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71.34.610, 71.34.630, and 71.34.730; reenacting and amending RCW 71.34.020, 71.34.750, and 71.34.750;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adolescents to confidentiality and to independently seek services for mental health and substance use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w:t>
      </w:r>
      <w:r>
        <w:rPr>
          <w:u w:val="single"/>
        </w:rPr>
        <w:t xml:space="preserve">(a)</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u w:val="single"/>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2019 c 381 s 8 are each amended to read as follows:</w:t>
      </w:r>
    </w:p>
    <w:p>
      <w:pPr>
        <w:spacing w:before="0" w:after="0" w:line="408" w:lineRule="exact"/>
        <w:ind w:left="0" w:right="0" w:firstLine="576"/>
        <w:jc w:val="left"/>
      </w:pPr>
      <w:r>
        <w:rPr/>
        <w:t xml:space="preserve">(1) The authority shall assure that, for any adolescent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adolescent nor is affiliated with the facility providing the treatment. </w:t>
      </w:r>
      <w:r>
        <w:t>((</w:t>
      </w:r>
      <w:r>
        <w:rPr>
          <w:strike/>
        </w:rPr>
        <w:t xml:space="preserve">The</w:t>
      </w:r>
      <w:r>
        <w:t>))</w:t>
      </w:r>
    </w:p>
    <w:p>
      <w:pPr>
        <w:spacing w:before="0" w:after="0" w:line="408" w:lineRule="exact"/>
        <w:ind w:left="0" w:right="0" w:firstLine="576"/>
        <w:jc w:val="left"/>
      </w:pPr>
      <w:r>
        <w:rPr>
          <w:u w:val="single"/>
        </w:rPr>
        <w:t xml:space="preserve">(a) For adolescents receiving inpatient treatment, the</w:t>
      </w:r>
      <w:r>
        <w:rPr/>
        <w:t xml:space="preserve"> physician or other mental health professional shall conduct the review not less than seven nor more than fourteen days following the date the adolescent was brought to the facility under RCW 71.34.600 to determine whether it is a medical necessity to continue the adolescent's treatment on an inpatient </w:t>
      </w:r>
      <w:r>
        <w:rPr/>
        <w:t xml:space="preserve">basis.</w:t>
      </w:r>
    </w:p>
    <w:p>
      <w:pPr>
        <w:spacing w:before="0" w:after="0" w:line="408" w:lineRule="exact"/>
        <w:ind w:left="0" w:right="0" w:firstLine="576"/>
        <w:jc w:val="left"/>
      </w:pPr>
      <w:r>
        <w:rPr>
          <w:u w:val="single"/>
        </w:rPr>
        <w:t xml:space="preserve">(b) For adolescents receiving inpatient treatment in a residential treatment facility, the physician or other mental health professional shall conduct an additional medical necessity review every thirty days after the initial review while the adolescent remains in treatment under RCW 71.34.600.</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adolescent, and the likelihood the adolescent's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an adolescent to receive inpatient treatment, the authority shall immediately notify the parents and the facility. The facility shall release the adolescent to the parents within twenty-four hours of receiving notice. If the professional person in charge and the parent believe that it is a medical necessity for the adolescent to remain in inpatient treatment, the adolescent shall be released to the parent on the second judicial day following the authority's determination in order to allow the parent time to file an at-risk youth petition under chapter 13.32A RCW. If the authority determines it is a medical necessity for the adolescent to receive outpatient treatment and the adolescent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0" w:after="0" w:line="408" w:lineRule="exact"/>
        <w:ind w:left="0" w:right="0" w:firstLine="576"/>
        <w:jc w:val="left"/>
      </w:pPr>
      <w:r>
        <w:rPr>
          <w:u w:val="single"/>
        </w:rPr>
        <w:t xml:space="preserve">(7) The authority shall communicate review findings under this section with the appropriate medicaid managed care organization contracted by the authority.</w:t>
      </w:r>
    </w:p>
    <w:p>
      <w:pPr>
        <w:spacing w:before="0" w:after="0" w:line="408" w:lineRule="exact"/>
        <w:ind w:left="0" w:right="0" w:firstLine="576"/>
        <w:jc w:val="left"/>
      </w:pPr>
      <w:r>
        <w:rPr>
          <w:u w:val="single"/>
        </w:rPr>
        <w:t xml:space="preserve">(8) Nothing in this section prohibits a managed care organization from conducting medical necessity reviews according to appropriate guidelines based on the level of care being referred to and consistent with the billing guide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2019 c 381 s 10 are each amended to read as follows:</w:t>
      </w:r>
    </w:p>
    <w:p>
      <w:pPr>
        <w:spacing w:before="0" w:after="0" w:line="408" w:lineRule="exact"/>
        <w:ind w:left="0" w:right="0" w:firstLine="576"/>
        <w:jc w:val="left"/>
      </w:pPr>
      <w:r>
        <w:rPr>
          <w:u w:val="single"/>
        </w:rPr>
        <w:t xml:space="preserve">(1)</w:t>
      </w:r>
      <w:r>
        <w:rPr/>
        <w:t xml:space="preserve"> If the adolescent </w:t>
      </w:r>
      <w:r>
        <w:rPr>
          <w:u w:val="single"/>
        </w:rPr>
        <w:t xml:space="preserve">is receiving inpatient treatment in a hospital setting and</w:t>
      </w:r>
      <w:r>
        <w:rPr/>
        <w:t xml:space="preserve"> is not released as a result of the petition filed under RCW 71.34.620, he or she shall be released not later than thirty days following the later of: </w:t>
      </w:r>
      <w:r>
        <w:t>((</w:t>
      </w:r>
      <w:r>
        <w:rPr>
          <w:strike/>
        </w:rPr>
        <w:t xml:space="preserve">(1)</w:t>
      </w:r>
      <w:r>
        <w:t>))</w:t>
      </w:r>
      <w:r>
        <w:rPr/>
        <w:t xml:space="preserve"> </w:t>
      </w:r>
      <w:r>
        <w:rPr>
          <w:u w:val="single"/>
        </w:rPr>
        <w:t xml:space="preserve">(a)</w:t>
      </w:r>
      <w:r>
        <w:rPr/>
        <w:t xml:space="preserve"> The date of the authority's determination under RCW 71.34.610(2); or </w:t>
      </w:r>
      <w:r>
        <w:t>((</w:t>
      </w:r>
      <w:r>
        <w:rPr>
          <w:strike/>
        </w:rPr>
        <w:t xml:space="preserve">(2)</w:t>
      </w:r>
      <w:r>
        <w:t>))</w:t>
      </w:r>
      <w:r>
        <w:rPr/>
        <w:t xml:space="preserve"> </w:t>
      </w:r>
      <w:r>
        <w:rPr>
          <w:u w:val="single"/>
        </w:rPr>
        <w:t xml:space="preserve">(b)</w:t>
      </w:r>
      <w:r>
        <w:rPr/>
        <w:t xml:space="preserve"> the filing of a petition for judicial review under RCW 71.34.620, unless a professional person or the designated crisis responder initiates proceedings under this chapter.</w:t>
      </w:r>
    </w:p>
    <w:p>
      <w:pPr>
        <w:spacing w:before="0" w:after="0" w:line="408" w:lineRule="exact"/>
        <w:ind w:left="0" w:right="0" w:firstLine="576"/>
        <w:jc w:val="left"/>
      </w:pPr>
      <w:r>
        <w:rPr>
          <w:u w:val="single"/>
        </w:rPr>
        <w:t xml:space="preserve">(2) If the adolescent receiving treatment in a residential treatment facility is not released as a result of the petition filed under RCW 71.34.620, he or she may remain in a residential treatment facility so long as it continues to be a medical necessity for the adolescent to receive such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develop and operate a data collection and tracking system for adolescents receiving family-initiated treatment under RCW 71.34.600 through 71.34.670. In implementing this data collection and tracking system, the authority shall, in collaboration with the department of health, collect information from facilities serving adolescents receiving family-initiated treatment under RCW 71.34.600 through 71.34.670 including, if possible, the following information:</w:t>
      </w:r>
    </w:p>
    <w:p>
      <w:pPr>
        <w:spacing w:before="0" w:after="0" w:line="408" w:lineRule="exact"/>
        <w:ind w:left="0" w:right="0" w:firstLine="576"/>
        <w:jc w:val="left"/>
      </w:pPr>
      <w:r>
        <w:rPr/>
        <w:t xml:space="preserve">(1) The names of facilities serving adolescents receiving family-initiated treatment under RCW 71.34.600 through 71.34.670;</w:t>
      </w:r>
    </w:p>
    <w:p>
      <w:pPr>
        <w:spacing w:before="0" w:after="0" w:line="408" w:lineRule="exact"/>
        <w:ind w:left="0" w:right="0" w:firstLine="576"/>
        <w:jc w:val="left"/>
      </w:pPr>
      <w:r>
        <w:rPr/>
        <w:t xml:space="preserve">(2) The number of adolescents receiving family-initiated treatment under RCW 71.34.600 through 71.34.670 who are defined as dependent children under chapter 13.34 RCW;</w:t>
      </w:r>
    </w:p>
    <w:p>
      <w:pPr>
        <w:spacing w:before="0" w:after="0" w:line="408" w:lineRule="exact"/>
        <w:ind w:left="0" w:right="0" w:firstLine="576"/>
        <w:jc w:val="left"/>
      </w:pPr>
      <w:r>
        <w:rPr/>
        <w:t xml:space="preserve">(3) Demographic information about the adolescents receiving family-initiated treatment under RCW 71.34.600 through 71.34.670;</w:t>
      </w:r>
    </w:p>
    <w:p>
      <w:pPr>
        <w:spacing w:before="0" w:after="0" w:line="408" w:lineRule="exact"/>
        <w:ind w:left="0" w:right="0" w:firstLine="576"/>
        <w:jc w:val="left"/>
      </w:pPr>
      <w:r>
        <w:rPr/>
        <w:t xml:space="preserve">(4) The diagnosis upon entry for adolescents receiving family-initiated treatment under RCW 71.34.600 through 71.34.670;</w:t>
      </w:r>
    </w:p>
    <w:p>
      <w:pPr>
        <w:spacing w:before="0" w:after="0" w:line="408" w:lineRule="exact"/>
        <w:ind w:left="0" w:right="0" w:firstLine="576"/>
        <w:jc w:val="left"/>
      </w:pPr>
      <w:r>
        <w:rPr/>
        <w:t xml:space="preserve">(5) Length of stay for adolescents receiving family-initiated treatment under RCW 71.34.600 through 71.34.670; and</w:t>
      </w:r>
    </w:p>
    <w:p>
      <w:pPr>
        <w:spacing w:before="0" w:after="0" w:line="408" w:lineRule="exact"/>
        <w:ind w:left="0" w:right="0" w:firstLine="576"/>
        <w:jc w:val="left"/>
      </w:pPr>
      <w:r>
        <w:rPr/>
        <w:t xml:space="preserve">(6) Information related to the discharge summary for adolescents receiving family-initiated treatment under RCW 71.34.600 through 71.34.670.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2026.</w:t>
      </w:r>
    </w:p>
    <w:p/>
    <w:p>
      <w:pPr>
        <w:jc w:val="center"/>
      </w:pPr>
      <w:r>
        <w:rPr>
          <w:b/>
        </w:rPr>
        <w:t>--- END ---</w:t>
      </w:r>
    </w:p>
    <w:sectPr>
      <w:pgNumType w:start="1"/>
      <w:footerReference xmlns:r="http://schemas.openxmlformats.org/officeDocument/2006/relationships" r:id="R33b0ac31f2204a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3b599904fc4929" /><Relationship Type="http://schemas.openxmlformats.org/officeDocument/2006/relationships/footer" Target="/word/footer1.xml" Id="R33b0ac31f2204a3e" /></Relationships>
</file>