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c4bc6a105d4aa1" /></Relationships>
</file>

<file path=word/document.xml><?xml version="1.0" encoding="utf-8"?>
<w:document xmlns:w="http://schemas.openxmlformats.org/wordprocessingml/2006/main">
  <w:body>
    <w:p>
      <w:r>
        <w:t>S-0393.1</w:t>
      </w:r>
    </w:p>
    <w:p>
      <w:pPr>
        <w:jc w:val="center"/>
      </w:pPr>
      <w:r>
        <w:t>_______________________________________________</w:t>
      </w:r>
    </w:p>
    <w:p/>
    <w:p>
      <w:pPr>
        <w:jc w:val="center"/>
      </w:pPr>
      <w:r>
        <w:rPr>
          <w:b/>
        </w:rPr>
        <w:t>SENATE BILL 5026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and Fortunato</w:t>
      </w:r>
    </w:p>
    <w:p/>
    <w:p>
      <w:r>
        <w:rPr>
          <w:t xml:space="preserve">Prefiled 01/04/19.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of planning boundaries in conjunction with parcel boundaries;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0" w:after="0" w:line="408" w:lineRule="exact"/>
        <w:ind w:left="0" w:right="0" w:firstLine="576"/>
        <w:jc w:val="left"/>
      </w:pPr>
      <w:r>
        <w:rPr>
          <w:u w:val="single"/>
        </w:rPr>
        <w:t xml:space="preserve">(10) Urban growth area boundaries shall follow existing parcel boundary lines and reasonable efforts should be made to avoid unnecessary divisions. Any changes required by this subsection shall be made as part of the next comprehensive plan periodic update and shall not result in a finding of noncompliance before that time.</w:t>
      </w:r>
    </w:p>
    <w:p/>
    <w:p>
      <w:pPr>
        <w:jc w:val="center"/>
      </w:pPr>
      <w:r>
        <w:rPr>
          <w:b/>
        </w:rPr>
        <w:t>--- END ---</w:t>
      </w:r>
    </w:p>
    <w:sectPr>
      <w:pgNumType w:start="1"/>
      <w:footerReference xmlns:r="http://schemas.openxmlformats.org/officeDocument/2006/relationships" r:id="R28e635ff1e8140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4ad7e57a04fa8" /><Relationship Type="http://schemas.openxmlformats.org/officeDocument/2006/relationships/footer" Target="/word/footer1.xml" Id="R28e635ff1e8140e9" /></Relationships>
</file>