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8fc264c314ea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Saldaña, Hasegawa, Conway, Keiser, Wellman, and Kuderer; by request of Attorney General)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u w:val="single"/>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u w:val="single"/>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fails to post a document required to be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w:t>
      </w:r>
      <w:r>
        <w:rPr>
          <w:u w:val="single"/>
        </w:rPr>
        <w:t xml:space="preserve">or post</w:t>
      </w:r>
      <w:r>
        <w:rPr/>
        <w:t xml:space="preserv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w:t>
      </w:r>
      <w:r>
        <w:t>((</w:t>
      </w:r>
      <w:r>
        <w:rPr>
          <w:strike/>
        </w:rPr>
        <w:t xml:space="preserve">of the final determination of the appeal</w:t>
      </w:r>
      <w:r>
        <w:t>))</w:t>
      </w:r>
      <w:r>
        <w:rPr/>
        <w:t xml:space="preserve"> </w:t>
      </w:r>
      <w:r>
        <w:rPr>
          <w:u w:val="single"/>
        </w:rPr>
        <w:t xml:space="preserve">the notice of violation becomes final</w:t>
      </w:r>
      <w:r>
        <w:rPr/>
        <w:t xml:space="preserve">.</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r>
        <w:rPr>
          <w:u w:val="single"/>
        </w:rPr>
        <w:t xml:space="preserve">, unless a notice of violation is not timely appealed. A notice of violation not timely appealed is final and binding, and not subject to further appeal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w:t>
      </w:r>
      <w:r>
        <w:rPr>
          <w:u w:val="single"/>
        </w:rPr>
        <w:t xml:space="preserve">the department of labor and industries may issue a notice of violation for unpaid wages, penalties, and interest on all wages owed at one percent per month. A</w:t>
      </w:r>
      <w:r>
        <w:rPr/>
        <w:t xml:space="preserve"> hearing shall be held </w:t>
      </w:r>
      <w:r>
        <w:rPr>
          <w:u w:val="single"/>
        </w:rPr>
        <w:t xml:space="preserve">following a timely appeal of the notice of violation</w:t>
      </w:r>
      <w:r>
        <w:rPr/>
        <w:t xml:space="preserve"> in accordance with chapter 34.05 RCW. The director shall issue a written determination including his or her findings after the hearing </w:t>
      </w:r>
      <w:r>
        <w:rPr>
          <w:u w:val="single"/>
        </w:rPr>
        <w:t xml:space="preserve">unless a notice of violation is not timely appealed. A notice of violation not timely appealed is final and binding, and not subject to further appeal</w:t>
      </w:r>
      <w:r>
        <w:rPr/>
        <w:t xml:space="preserve">. A judicial appeal from the director's determination may be taken in accordance with chapter 34.05 RCW, with the prevailing party entitled to recover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sixty</w:t>
      </w:r>
      <w:r>
        <w:rPr/>
        <w:t xml:space="preserve"> days from the acceptance date of the public works project. </w:t>
      </w:r>
      <w:r>
        <w:rPr>
          <w:u w:val="single"/>
        </w:rPr>
        <w:t xml:space="preserve">The department may not charge a contractor or subcontractor with a violation of this section when responding to a complaint filed after the sixty-day limit.</w:t>
      </w:r>
      <w:r>
        <w:rPr/>
        <w:t xml:space="preserve">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w:t>
      </w:r>
      <w:r>
        <w:rPr>
          <w:u w:val="single"/>
        </w:rPr>
        <w:t xml:space="preserve">interest on all wages owed at one percent per month,</w:t>
      </w:r>
      <w:r>
        <w:rPr/>
        <w:t xml:space="preserve">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w:t>
      </w:r>
      <w:r>
        <w:rPr>
          <w:u w:val="single"/>
        </w:rPr>
        <w:t xml:space="preserve">The two-year period runs from the date of notice by the director of the determination of noncompliance. When an appeal is taken from the director's determination, the two-year period commences from the date of the notice of violation becomes final.</w:t>
      </w:r>
      <w:r>
        <w:rPr/>
        <w:t xml:space="preserve">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regularly submit a report of the waivers made under this section, including a justification for any waiver made, upon request of an interested party.</w:t>
      </w:r>
    </w:p>
    <w:p>
      <w:pPr>
        <w:spacing w:before="0" w:after="0" w:line="408" w:lineRule="exact"/>
        <w:ind w:left="0" w:right="0" w:firstLine="576"/>
        <w:jc w:val="left"/>
      </w:pPr>
      <w:r>
        <w:rPr>
          <w:u w:val="single"/>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u w:val="single"/>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subcontractor, or employer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subcontractor, or employer shall file a copy of its certified payroll records using the department of labor and industries' online system at least once per month. If the department of labor and industries' online system is not used, a contractor, subcontractor, or employer shall file a copy of its certified payroll records directly with the department of labor and industries in a format approved by the department of labor and industries at least once per month.</w:t>
      </w:r>
    </w:p>
    <w:p>
      <w:pPr>
        <w:spacing w:before="0" w:after="0" w:line="408" w:lineRule="exact"/>
        <w:ind w:left="0" w:right="0" w:firstLine="576"/>
        <w:jc w:val="left"/>
      </w:pPr>
      <w:r>
        <w:rPr/>
        <w:t xml:space="preserve">(3) A contractor, subcontractor, or employer's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7489a68e32984a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6937d75d294a59" /><Relationship Type="http://schemas.openxmlformats.org/officeDocument/2006/relationships/footer" Target="/word/footer1.xml" Id="R7489a68e32984af9" /></Relationships>
</file>