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2f66b0ed34f94" /></Relationships>
</file>

<file path=word/document.xml><?xml version="1.0" encoding="utf-8"?>
<w:document xmlns:w="http://schemas.openxmlformats.org/wordprocessingml/2006/main">
  <w:body>
    <w:p>
      <w:r>
        <w:t>S-0261.4</w:t>
      </w:r>
    </w:p>
    <w:p>
      <w:pPr>
        <w:jc w:val="center"/>
      </w:pPr>
      <w:r>
        <w:t>_______________________________________________</w:t>
      </w:r>
    </w:p>
    <w:p/>
    <w:p>
      <w:pPr>
        <w:jc w:val="center"/>
      </w:pPr>
      <w:r>
        <w:rPr>
          <w:b/>
        </w:rPr>
        <w:t>SENATE BILL 5079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Billig, Cleveland, Conway, Frockt, Hunt, Kuderer, Saldaña, and Van De Wege</w:t>
      </w:r>
    </w:p>
    <w:p/>
    <w:p>
      <w:r>
        <w:rPr>
          <w:t xml:space="preserve">Prefiled 01/04/19.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Native American voting rights act of Washington; amending RCW 29A.08.010, 29A.08.112, 29A.08.123, 29A.08.310, and 29A.40.160; adding a new section to chapter 29A.40 RCW; and adding a new section to chapter 29A.84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 The address of a tribally designated building that is a ballot pickup and collection location under section 5(4) of this act may serve as the residential address and mailing address for voters living on Indian lands if the tribally designated building is in the same precinct as the voter. If the designated tribal government building is not in the same precinct as the voter, the voter may use the designated tribal government building as a mailing address and may separately designate the voter's appropriate precinct through a nontraditional address.</w:t>
      </w:r>
    </w:p>
    <w:p>
      <w:pPr>
        <w:spacing w:before="0" w:after="0" w:line="408" w:lineRule="exact"/>
        <w:ind w:left="0" w:right="0" w:firstLine="576"/>
        <w:jc w:val="left"/>
      </w:pPr>
      <w:r>
        <w:rPr>
          <w:u w:val="single"/>
        </w:rPr>
        <w:t xml:space="preserve">(4)</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w:t>
      </w:r>
      <w:r>
        <w:rPr>
          <w:u w:val="single"/>
        </w:rPr>
        <w:t xml:space="preserve">At the request of an Indian tribe, the governor shall designate any state facility or state-funded facility or program that is located on the lands of the requesting Indian tribe or that is substantially engaged in providing services to Indian tribes to provide voter registration services. This provision does not alter the state's obligations under the national voter registration act.</w:t>
      </w:r>
    </w:p>
    <w:p>
      <w:pPr>
        <w:spacing w:before="0" w:after="0" w:line="408" w:lineRule="exact"/>
        <w:ind w:left="0" w:right="0" w:firstLine="576"/>
        <w:jc w:val="left"/>
      </w:pPr>
      <w:r>
        <w:rPr>
          <w:u w:val="single"/>
        </w:rPr>
        <w:t xml:space="preserve">(3)</w:t>
      </w:r>
      <w:r>
        <w:rPr/>
        <w:t xml:space="preserve"> Each state agency designated shall provide voter registration services for employees and the public within each office of that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an Indian tribe with a reservation in the county, the county auditor must establish at least one ballot drop box on the Indian reservation on a site selected by the tribe.</w:t>
      </w:r>
    </w:p>
    <w:p>
      <w:pPr>
        <w:spacing w:before="0" w:after="0" w:line="408" w:lineRule="exact"/>
        <w:ind w:left="0" w:right="0" w:firstLine="576"/>
        <w:jc w:val="left"/>
      </w:pPr>
      <w:r>
        <w:rPr/>
        <w:t xml:space="preserve">(4) An Indian tribe may designate at least one building as a ballot pickup and collection location at no cost to the tribe.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5 (3) and (4) of this act in the superior court of the county in which the violation is alleged to have occurred.</w:t>
      </w:r>
    </w:p>
    <w:p>
      <w:pPr>
        <w:spacing w:before="0" w:after="0" w:line="408" w:lineRule="exact"/>
        <w:ind w:left="0" w:right="0" w:firstLine="576"/>
        <w:jc w:val="left"/>
      </w:pPr>
      <w:r>
        <w:rPr/>
        <w:t xml:space="preserve">(2) A person or tribal government may bring a civil action for declaratory or injunctive relief with respect to RCW 29A.08.112(3), 29A.08.310(2), or section 5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
      <w:pPr>
        <w:jc w:val="center"/>
      </w:pPr>
      <w:r>
        <w:rPr>
          <w:b/>
        </w:rPr>
        <w:t>--- END ---</w:t>
      </w:r>
    </w:p>
    <w:sectPr>
      <w:pgNumType w:start="1"/>
      <w:footerReference xmlns:r="http://schemas.openxmlformats.org/officeDocument/2006/relationships" r:id="R86663266c35742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485d05f7f486d" /><Relationship Type="http://schemas.openxmlformats.org/officeDocument/2006/relationships/footer" Target="/word/footer1.xml" Id="R86663266c35742c0" /></Relationships>
</file>