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e1d57c9a64ee3" /></Relationships>
</file>

<file path=word/document.xml><?xml version="1.0" encoding="utf-8"?>
<w:document xmlns:w="http://schemas.openxmlformats.org/wordprocessingml/2006/main">
  <w:body>
    <w:p>
      <w:r>
        <w:t>S-0001.1</w:t>
      </w:r>
    </w:p>
    <w:p>
      <w:pPr>
        <w:jc w:val="center"/>
      </w:pPr>
      <w:r>
        <w:t>_______________________________________________</w:t>
      </w:r>
    </w:p>
    <w:p/>
    <w:p>
      <w:pPr>
        <w:jc w:val="center"/>
      </w:pPr>
      <w:r>
        <w:rPr>
          <w:b/>
        </w:rPr>
        <w:t>SENATE BILL 5080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Darneille, Hasegawa, Kuderer, and Saldaña</w:t>
      </w:r>
    </w:p>
    <w:p/>
    <w:p>
      <w:r>
        <w:rPr>
          <w:t xml:space="preserve">Prefiled 01/04/19.</w:t>
        </w:rPr>
      </w:r>
      <w:r>
        <w:rPr>
          <w:t xml:space="preserve">Read first time 01/14/19.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earned release time and graduated reentry for educational participation and achievement for certain offenders; and amending RCW 9.94A.733, 9.94A.728, and 9.94A.729.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2018 c 166 s 1 are each amended to read as follows:</w:t>
      </w:r>
    </w:p>
    <w:p>
      <w:pPr>
        <w:spacing w:before="0" w:after="0" w:line="408" w:lineRule="exact"/>
        <w:ind w:left="0" w:right="0" w:firstLine="576"/>
        <w:jc w:val="left"/>
      </w:pPr>
      <w:r>
        <w:rPr/>
        <w:t xml:space="preserve">(1) 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w:t>
      </w:r>
      <w:r>
        <w:rPr>
          <w:u w:val="single"/>
        </w:rPr>
        <w:t xml:space="preserve">education,</w:t>
      </w:r>
      <w:r>
        <w:rPr/>
        <w:t xml:space="preserve"> programming</w:t>
      </w:r>
      <w:r>
        <w:rPr>
          <w:u w:val="single"/>
        </w:rPr>
        <w:t xml:space="preserve">,</w:t>
      </w:r>
      <w:r>
        <w:rPr/>
        <w:t xml:space="preserve"> and</w:t>
      </w:r>
      <w:r>
        <w:rPr>
          <w:u w:val="single"/>
        </w:rPr>
        <w:t xml:space="preserve">/or</w:t>
      </w:r>
      <w:r>
        <w:rPr/>
        <w:t xml:space="preserve"> treatment that the department shall assign based on an offender's assessed need</w:t>
      </w:r>
      <w:r>
        <w:rPr>
          <w:u w:val="single"/>
        </w:rPr>
        <w:t xml:space="preserve">, or plan for continued education</w:t>
      </w:r>
      <w:r>
        <w:rPr/>
        <w:t xml:space="preserve">;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w:t>
      </w:r>
      <w:r>
        <w:rPr>
          <w:u w:val="single"/>
        </w:rPr>
        <w:t xml:space="preserve">or academic enrollment</w:t>
      </w:r>
      <w:r>
        <w:rPr/>
        <w:t xml:space="preserve">.</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w:t>
      </w:r>
      <w:r>
        <w:t>((</w:t>
      </w:r>
      <w:r>
        <w:rPr>
          <w:strike/>
        </w:rPr>
        <w:t xml:space="preserve">release [reentry]</w:t>
      </w:r>
      <w:r>
        <w:t>))</w:t>
      </w:r>
      <w:r>
        <w:rPr/>
        <w:t xml:space="preserve"> </w:t>
      </w:r>
      <w:r>
        <w:rPr>
          <w:u w:val="single"/>
        </w:rPr>
        <w:t xml:space="preserve">reentry</w:t>
      </w:r>
      <w:r>
        <w:rPr/>
        <w:t xml:space="preserv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w:t>
      </w:r>
      <w:r>
        <w:rPr>
          <w:u w:val="single"/>
        </w:rPr>
        <w:t xml:space="preserve">finding and furthering educational opportunities in the community;</w:t>
      </w:r>
      <w:r>
        <w:rPr/>
        <w:t xml:space="preserve">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w:t>
      </w:r>
      <w:r>
        <w:rPr>
          <w:u w:val="single"/>
        </w:rPr>
        <w:t xml:space="preserve">Earned release time shall be granted for regular attendance, good performance, and attainment or completion of certificates and degrees specifically in required adult basic education programs.</w:t>
      </w:r>
      <w:r>
        <w:rPr/>
        <w:t xml:space="preserve">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
      <w:pPr>
        <w:jc w:val="center"/>
      </w:pPr>
      <w:r>
        <w:rPr>
          <w:b/>
        </w:rPr>
        <w:t>--- END ---</w:t>
      </w:r>
    </w:p>
    <w:sectPr>
      <w:pgNumType w:start="1"/>
      <w:footerReference xmlns:r="http://schemas.openxmlformats.org/officeDocument/2006/relationships" r:id="R325bc60ec74240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b9f982cee400f" /><Relationship Type="http://schemas.openxmlformats.org/officeDocument/2006/relationships/footer" Target="/word/footer1.xml" Id="R325bc60ec74240a2" /></Relationships>
</file>