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772f3918e40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Conway, Darneille, Wilson, C., Kuderer, and Takko)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federal special education funding; amending RCW 28A.150.392, 28A.150.415, 28A.150.390, and 43.09.2856;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Under the current funding model, students with disabilities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maintain the current funding structure for special education with necessary resources, and to collect data related to the numbers of students who fall into different cost categories of support. These additional data will inform whether an alternative system of funding may be necessary to better reflect current needs of our schools and our students. However, as these data are collected, the legislature also intends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basic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act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u w:val="single"/>
        </w:rPr>
        <w:t xml:space="preserve">(k) Beginning in school year 2019-20, the average per pupil expenditure used to determine safety net awards must exclude state safety net funding provided in this section.</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Federal special education allocations may be used to provide professional development to classified and certificated staff who provide educational services and supports to students with a disability, as provided in this section or under RCW 28A.413.060.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0.9609</w:t>
      </w:r>
      <w:r>
        <w:t>))</w:t>
      </w:r>
      <w:r>
        <w:rPr/>
        <w:t xml:space="preserve"> </w:t>
      </w:r>
      <w:r>
        <w:rPr>
          <w:u w:val="single"/>
        </w:rPr>
        <w:t xml:space="preserve">1.00</w:t>
      </w:r>
      <w:r>
        <w:rPr>
          <w:u w:val="single"/>
        </w:rPr>
        <w:t xml:space="preserve">; and</w:t>
      </w:r>
    </w:p>
    <w:p>
      <w:pPr>
        <w:spacing w:before="0" w:after="0" w:line="408" w:lineRule="exact"/>
        <w:ind w:left="0" w:right="0" w:firstLine="576"/>
        <w:jc w:val="left"/>
      </w:pPr>
      <w:r>
        <w:rPr>
          <w:u w:val="single"/>
        </w:rPr>
        <w:t xml:space="preserve">(c) A district's annual average full-time equivalent enrollment of students with disabilities in institutional education programs under chapters 28A.190, 28A.193, and 28A.194 RCW, multiplied by the district's base allocation per full-time equivalent student, multiplied by 1.00</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0" w:after="0" w:line="408" w:lineRule="exact"/>
        <w:ind w:left="0" w:right="0" w:firstLine="576"/>
        <w:jc w:val="left"/>
      </w:pPr>
      <w:r>
        <w:rPr>
          <w:u w:val="single"/>
        </w:rPr>
        <w:t xml:space="preserve">(4) School districts must distribute the allocation provided under subsection (2)(c) of this section to the institutional program that generated the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
      <w:pPr>
        <w:jc w:val="center"/>
      </w:pPr>
      <w:r>
        <w:rPr>
          <w:b/>
        </w:rPr>
        <w:t>--- END ---</w:t>
      </w:r>
    </w:p>
    <w:sectPr>
      <w:pgNumType w:start="1"/>
      <w:footerReference xmlns:r="http://schemas.openxmlformats.org/officeDocument/2006/relationships" r:id="R13d1a8c05053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98da69fe541a6" /><Relationship Type="http://schemas.openxmlformats.org/officeDocument/2006/relationships/footer" Target="/word/footer1.xml" Id="R13d1a8c050534b25" /></Relationships>
</file>