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c42a6d31e4ea6" /></Relationships>
</file>

<file path=word/document.xml><?xml version="1.0" encoding="utf-8"?>
<w:document xmlns:w="http://schemas.openxmlformats.org/wordprocessingml/2006/main">
  <w:body>
    <w:p>
      <w:r>
        <w:t>S-1147.2</w:t>
      </w:r>
    </w:p>
    <w:p>
      <w:pPr>
        <w:jc w:val="center"/>
      </w:pPr>
      <w:r>
        <w:t>_______________________________________________</w:t>
      </w:r>
    </w:p>
    <w:p/>
    <w:p>
      <w:pPr>
        <w:jc w:val="center"/>
      </w:pPr>
      <w:r>
        <w:rPr>
          <w:b/>
        </w:rPr>
        <w:t>SUBSTITUTE SENATE BILL 5115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Carlyle, Palumbo, Wellman, Hunt, Saldaña, Liias, and Kuderer; by request of Department of Commerce)</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(16)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(17)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(18)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(19)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(20)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(21)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a device with an integrated primary display that has a screen size of twenty square inches or less,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(22)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(23)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(24)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(25)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(26)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(27)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(28)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(29)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(30)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(31)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(32)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(33)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(34)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(35) "ANSI" means the American national standards institute.</w:t>
      </w:r>
    </w:p>
    <w:p>
      <w:pPr>
        <w:spacing w:before="0" w:after="0" w:line="408" w:lineRule="exact"/>
        <w:ind w:left="0" w:right="0" w:firstLine="576"/>
        <w:jc w:val="left"/>
      </w:pPr>
      <w:r>
        <w:rPr>
          <w:u w:val="single"/>
        </w:rPr>
        <w:t xml:space="preserve">(36) "CTA" means the consumer technology association.</w:t>
      </w:r>
    </w:p>
    <w:p>
      <w:pPr>
        <w:spacing w:before="0" w:after="0" w:line="408" w:lineRule="exact"/>
        <w:ind w:left="0" w:right="0" w:firstLine="576"/>
        <w:jc w:val="left"/>
      </w:pPr>
      <w:r>
        <w:rPr>
          <w:u w:val="single"/>
        </w:rPr>
        <w:t xml:space="preserve">(37) "Residential electric storage water heater" means a federally regulated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Residential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(3)</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(11)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sixty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sixty pounds per square inch, with optional temporary flow of 2.2 gallons per minute, provided the kitchen faucets and replacement aerators default to a maximum flow rate of 1.8 gallons per minute at sixty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sixty pounds per square inch; and</w:t>
      </w:r>
    </w:p>
    <w:p>
      <w:pPr>
        <w:spacing w:before="0" w:after="0" w:line="408" w:lineRule="exact"/>
        <w:ind w:left="0" w:right="0" w:firstLine="576"/>
        <w:jc w:val="left"/>
      </w:pPr>
      <w:r>
        <w:rPr>
          <w:u w:val="single"/>
        </w:rPr>
        <w:t xml:space="preserve">(d) Showerheads may not exceed a maximum flow rate of 1.8 gallons per minute at eighty pounds per square inch.</w:t>
      </w:r>
    </w:p>
    <w:p>
      <w:pPr>
        <w:spacing w:before="0" w:after="0" w:line="408" w:lineRule="exact"/>
        <w:ind w:left="0" w:right="0" w:firstLine="576"/>
        <w:jc w:val="left"/>
      </w:pPr>
      <w:r>
        <w:rPr>
          <w:u w:val="single"/>
        </w:rPr>
        <w:t xml:space="preserve">(12)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(13)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(14)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(15)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(16)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(17)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(18)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(19)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(20) All residential electric storage water heaters must be grid-response capable by having a modular demand response communications port compliant with: (a) The March 2018 version of the </w:t>
      </w:r>
      <w:r>
        <w:rPr>
          <w:u w:val="single"/>
        </w:rPr>
        <w:t xml:space="preserve">ANSI/CTA–2045-A</w:t>
      </w:r>
      <w:r>
        <w:rPr>
          <w:u w:val="single"/>
        </w:rPr>
        <w:t xml:space="preserve"> communication interface standard, or equivalent; and (b) the March 2018 version of the ANSI/CTA-2045-A application layer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High CRI fluorescent lamps;</w:t>
      </w:r>
    </w:p>
    <w:p>
      <w:pPr>
        <w:spacing w:before="0" w:after="0" w:line="408" w:lineRule="exact"/>
        <w:ind w:left="0" w:right="0" w:firstLine="576"/>
        <w:jc w:val="left"/>
      </w:pPr>
      <w:r>
        <w:rPr>
          <w:u w:val="single"/>
        </w:rPr>
        <w:t xml:space="preserve">(g) Residential ventilating fans;</w:t>
      </w:r>
    </w:p>
    <w:p>
      <w:pPr>
        <w:spacing w:before="0" w:after="0" w:line="408" w:lineRule="exact"/>
        <w:ind w:left="0" w:right="0" w:firstLine="576"/>
        <w:jc w:val="left"/>
      </w:pPr>
      <w:r>
        <w:rPr>
          <w:u w:val="single"/>
        </w:rPr>
        <w:t xml:space="preserve">(h) Spray sprinkler bodies;</w:t>
      </w:r>
    </w:p>
    <w:p>
      <w:pPr>
        <w:spacing w:before="0" w:after="0" w:line="408" w:lineRule="exact"/>
        <w:ind w:left="0" w:right="0" w:firstLine="576"/>
        <w:jc w:val="left"/>
      </w:pPr>
      <w:r>
        <w:rPr>
          <w:u w:val="single"/>
        </w:rPr>
        <w:t xml:space="preserve">(i) Showerheads;</w:t>
      </w:r>
    </w:p>
    <w:p>
      <w:pPr>
        <w:spacing w:before="0" w:after="0" w:line="408" w:lineRule="exact"/>
        <w:ind w:left="0" w:right="0" w:firstLine="576"/>
        <w:jc w:val="left"/>
      </w:pPr>
      <w:r>
        <w:rPr>
          <w:u w:val="single"/>
        </w:rPr>
        <w:t xml:space="preserve">(j) Uninterruptible power supplies;</w:t>
      </w:r>
    </w:p>
    <w:p>
      <w:pPr>
        <w:spacing w:before="0" w:after="0" w:line="408" w:lineRule="exact"/>
        <w:ind w:left="0" w:right="0" w:firstLine="576"/>
        <w:jc w:val="left"/>
      </w:pPr>
      <w:r>
        <w:rPr>
          <w:u w:val="single"/>
        </w:rPr>
        <w:t xml:space="preserve">(k) Urinals and water closets;</w:t>
      </w:r>
    </w:p>
    <w:p>
      <w:pPr>
        <w:spacing w:before="0" w:after="0" w:line="408" w:lineRule="exact"/>
        <w:ind w:left="0" w:right="0" w:firstLine="576"/>
        <w:jc w:val="left"/>
      </w:pPr>
      <w:r>
        <w:rPr>
          <w:u w:val="single"/>
        </w:rPr>
        <w:t xml:space="preserve">(l) Water coolers; and</w:t>
      </w:r>
    </w:p>
    <w:p>
      <w:pPr>
        <w:spacing w:before="0" w:after="0" w:line="408" w:lineRule="exact"/>
        <w:ind w:left="0" w:right="0" w:firstLine="576"/>
        <w:jc w:val="left"/>
      </w:pPr>
      <w:r>
        <w:rPr>
          <w:u w:val="single"/>
        </w:rPr>
        <w:t xml:space="preserve">(m) Residential electric storage water heater.</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in consultation with the office of the attorney general,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589915f8a6b14f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8526b8e5a4c1d" /><Relationship Type="http://schemas.openxmlformats.org/officeDocument/2006/relationships/footer" Target="/word/footer1.xml" Id="R589915f8a6b14f95" /></Relationships>
</file>