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c6d86e2a341d2" /></Relationships>
</file>

<file path=word/document.xml><?xml version="1.0" encoding="utf-8"?>
<w:document xmlns:w="http://schemas.openxmlformats.org/wordprocessingml/2006/main">
  <w:body>
    <w:p>
      <w:r>
        <w:t>Z-0395.1</w:t>
      </w:r>
    </w:p>
    <w:p>
      <w:pPr>
        <w:jc w:val="center"/>
      </w:pPr>
      <w:r>
        <w:t>_______________________________________________</w:t>
      </w:r>
    </w:p>
    <w:p/>
    <w:p>
      <w:pPr>
        <w:jc w:val="center"/>
      </w:pPr>
      <w:r>
        <w:rPr>
          <w:b/>
        </w:rPr>
        <w:t>SENATE BILL 5115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Palumbo, Wellman, Hunt, Saldaña, Liias, and Kuderer; by request of Department of Commerce</w:t>
      </w:r>
    </w:p>
    <w:p/>
    <w:p>
      <w:r>
        <w:rPr>
          <w:t xml:space="preserve">Prefiled 01/10/19.</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(17)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(18)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(19)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(20) "Air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(21)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a device with an integrated primary display that has a screen size of twenty square inches or less,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(22)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(23)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(24)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(25)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(26)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(27) "Residential ventilating fan" means a ceiling, wall-mounted, or remotely mounted in-line fan designed to be used in a bathroom or utility room, or a kitchen range hood, whose purpose is to move objectionable air from inside the building to the outdoors.</w:t>
      </w:r>
    </w:p>
    <w:p>
      <w:pPr>
        <w:spacing w:before="0" w:after="0" w:line="408" w:lineRule="exact"/>
        <w:ind w:left="0" w:right="0" w:firstLine="576"/>
        <w:jc w:val="left"/>
      </w:pPr>
      <w:r>
        <w:rPr>
          <w:u w:val="single"/>
        </w:rPr>
        <w:t xml:space="preserve">(28)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(29)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(30)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(31)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(32)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(33)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(34)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(35) "ANSI" means the American national standards institute.</w:t>
      </w:r>
    </w:p>
    <w:p>
      <w:pPr>
        <w:spacing w:before="0" w:after="0" w:line="408" w:lineRule="exact"/>
        <w:ind w:left="0" w:right="0" w:firstLine="576"/>
        <w:jc w:val="left"/>
      </w:pPr>
      <w:r>
        <w:rPr>
          <w:u w:val="single"/>
        </w:rPr>
        <w:t xml:space="preserve">(36) "CTA" means the consumer technology association.</w:t>
      </w:r>
    </w:p>
    <w:p>
      <w:pPr>
        <w:spacing w:before="0" w:after="0" w:line="408" w:lineRule="exact"/>
        <w:ind w:left="0" w:right="0" w:firstLine="576"/>
        <w:jc w:val="left"/>
      </w:pPr>
      <w:r>
        <w:rPr>
          <w:u w:val="single"/>
        </w:rPr>
        <w:t xml:space="preserve">(37) "Residential electric storage water heater" means a federally regulated consumer product that uses electricity as the energy source to heat domestic potable water, has a nameplate input rating of 12 kilowatts, contains nominally 40 gallons but no more than 120 gallons of rated hot water storage volume, and supplies a maximum hot water delivery temperature less than 180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w:t>
      </w:r>
      <w:r>
        <w:t>))</w:t>
      </w:r>
      <w:r>
        <w:rPr/>
        <w:t xml:space="preserve"> Wine chillers designed and sold for use by an individual;</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(d)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Compressors;</w:t>
      </w:r>
    </w:p>
    <w:p>
      <w:pPr>
        <w:spacing w:before="0" w:after="0" w:line="408" w:lineRule="exact"/>
        <w:ind w:left="0" w:right="0" w:firstLine="576"/>
        <w:jc w:val="left"/>
      </w:pPr>
      <w:r>
        <w:rPr>
          <w:u w:val="single"/>
        </w:rPr>
        <w:t xml:space="preserve">(i) Computers and computer monitors;</w:t>
      </w:r>
    </w:p>
    <w:p>
      <w:pPr>
        <w:spacing w:before="0" w:after="0" w:line="408" w:lineRule="exact"/>
        <w:ind w:left="0" w:right="0" w:firstLine="576"/>
        <w:jc w:val="left"/>
      </w:pPr>
      <w:r>
        <w:rPr>
          <w:u w:val="single"/>
        </w:rPr>
        <w:t xml:space="preserve">(j) Faucets;</w:t>
      </w:r>
    </w:p>
    <w:p>
      <w:pPr>
        <w:spacing w:before="0" w:after="0" w:line="408" w:lineRule="exact"/>
        <w:ind w:left="0" w:right="0" w:firstLine="576"/>
        <w:jc w:val="left"/>
      </w:pPr>
      <w:r>
        <w:rPr>
          <w:u w:val="single"/>
        </w:rPr>
        <w:t xml:space="preserve">(k) High CRI fluorescent lamps;</w:t>
      </w:r>
    </w:p>
    <w:p>
      <w:pPr>
        <w:spacing w:before="0" w:after="0" w:line="408" w:lineRule="exact"/>
        <w:ind w:left="0" w:right="0" w:firstLine="576"/>
        <w:jc w:val="left"/>
      </w:pPr>
      <w:r>
        <w:rPr>
          <w:u w:val="single"/>
        </w:rPr>
        <w:t xml:space="preserve">(l) Portable air conditioners;</w:t>
      </w:r>
    </w:p>
    <w:p>
      <w:pPr>
        <w:spacing w:before="0" w:after="0" w:line="408" w:lineRule="exact"/>
        <w:ind w:left="0" w:right="0" w:firstLine="576"/>
        <w:jc w:val="left"/>
      </w:pPr>
      <w:r>
        <w:rPr>
          <w:u w:val="single"/>
        </w:rPr>
        <w:t xml:space="preserve">(m) Residential ventilating fans;</w:t>
      </w:r>
    </w:p>
    <w:p>
      <w:pPr>
        <w:spacing w:before="0" w:after="0" w:line="408" w:lineRule="exact"/>
        <w:ind w:left="0" w:right="0" w:firstLine="576"/>
        <w:jc w:val="left"/>
      </w:pPr>
      <w:r>
        <w:rPr>
          <w:u w:val="single"/>
        </w:rPr>
        <w:t xml:space="preserve">(n) Showerheads;</w:t>
      </w:r>
    </w:p>
    <w:p>
      <w:pPr>
        <w:spacing w:before="0" w:after="0" w:line="408" w:lineRule="exact"/>
        <w:ind w:left="0" w:right="0" w:firstLine="576"/>
        <w:jc w:val="left"/>
      </w:pPr>
      <w:r>
        <w:rPr>
          <w:u w:val="single"/>
        </w:rPr>
        <w:t xml:space="preserve">(o) Spray sprinkler bodies;</w:t>
      </w:r>
    </w:p>
    <w:p>
      <w:pPr>
        <w:spacing w:before="0" w:after="0" w:line="408" w:lineRule="exact"/>
        <w:ind w:left="0" w:right="0" w:firstLine="576"/>
        <w:jc w:val="left"/>
      </w:pPr>
      <w:r>
        <w:rPr>
          <w:u w:val="single"/>
        </w:rPr>
        <w:t xml:space="preserve">(p) Uninterruptible power supplies;</w:t>
      </w:r>
    </w:p>
    <w:p>
      <w:pPr>
        <w:spacing w:before="0" w:after="0" w:line="408" w:lineRule="exact"/>
        <w:ind w:left="0" w:right="0" w:firstLine="576"/>
        <w:jc w:val="left"/>
      </w:pPr>
      <w:r>
        <w:rPr>
          <w:u w:val="single"/>
        </w:rPr>
        <w:t xml:space="preserve">(q) Urinals and water closets;</w:t>
      </w:r>
    </w:p>
    <w:p>
      <w:pPr>
        <w:spacing w:before="0" w:after="0" w:line="408" w:lineRule="exact"/>
        <w:ind w:left="0" w:right="0" w:firstLine="576"/>
        <w:jc w:val="left"/>
      </w:pPr>
      <w:r>
        <w:rPr>
          <w:u w:val="single"/>
        </w:rPr>
        <w:t xml:space="preserve">(r) Water coolers;</w:t>
      </w:r>
    </w:p>
    <w:p>
      <w:pPr>
        <w:spacing w:before="0" w:after="0" w:line="408" w:lineRule="exact"/>
        <w:ind w:left="0" w:right="0" w:firstLine="576"/>
        <w:jc w:val="left"/>
      </w:pPr>
      <w:r>
        <w:rPr>
          <w:u w:val="single"/>
        </w:rPr>
        <w:t xml:space="preserve">(s) General service lamps; and</w:t>
      </w:r>
    </w:p>
    <w:p>
      <w:pPr>
        <w:spacing w:before="0" w:after="0" w:line="408" w:lineRule="exact"/>
        <w:ind w:left="0" w:right="0" w:firstLine="576"/>
        <w:jc w:val="left"/>
      </w:pPr>
      <w:r>
        <w:rPr>
          <w:u w:val="single"/>
        </w:rPr>
        <w:t xml:space="preserve">(t) Residential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w:t>
      </w:r>
      <w:r>
        <w:t>))</w:t>
      </w:r>
      <w:r>
        <w:rPr/>
        <w:t xml:space="preserve">(a)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2020,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2021,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2020, p</w:t>
      </w:r>
      <w:r>
        <w:rPr/>
        <w:t xml:space="preserve">ortable electric spas must be tested in accordance with the method specified in the California Code of Regulations, Title 20, section 1604 in effect as of July 26, 2009. </w:t>
      </w:r>
      <w:r>
        <w:rPr>
          <w:u w:val="single"/>
        </w:rPr>
        <w:t xml:space="preserve">Beginning January 1, 2021,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(8)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(9)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(10)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(11) Air compressors that meet the twelve criteria listed on page 350 to 351 of the "energy conservation standards for air compressors" final rule issued by the United States department of energy on December 5, 2016, shall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(12)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60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60 pounds per square inch, with optional temporary flow of 2.2 gallons per minute, provided the kitchen faucets and replacement aerators default to a maximum flow rate of 1.8 gallons per minute at 60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60 pounds per square inch; and</w:t>
      </w:r>
    </w:p>
    <w:p>
      <w:pPr>
        <w:spacing w:before="0" w:after="0" w:line="408" w:lineRule="exact"/>
        <w:ind w:left="0" w:right="0" w:firstLine="576"/>
        <w:jc w:val="left"/>
      </w:pPr>
      <w:r>
        <w:rPr>
          <w:u w:val="single"/>
        </w:rPr>
        <w:t xml:space="preserve">(d) Showerheads may not exceed a maximum flow rate of 1.8 gallons per minute at 80 pounds per square inch.</w:t>
      </w:r>
    </w:p>
    <w:p>
      <w:pPr>
        <w:spacing w:before="0" w:after="0" w:line="408" w:lineRule="exact"/>
        <w:ind w:left="0" w:right="0" w:firstLine="576"/>
        <w:jc w:val="left"/>
      </w:pPr>
      <w:r>
        <w:rPr>
          <w:u w:val="single"/>
        </w:rPr>
        <w:t xml:space="preserve">(13)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(14)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(15)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(16)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(17)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(19)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(20)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(21) All residential electric storage water heaters must be grid-response capable by having a modular demand response communications port compliant with: (a) The March 2018 version of the </w:t>
      </w:r>
      <w:r>
        <w:rPr>
          <w:u w:val="single"/>
        </w:rPr>
        <w:t xml:space="preserve">ANSI/CTA–2045-A</w:t>
      </w:r>
      <w:r>
        <w:rPr>
          <w:u w:val="single"/>
        </w:rPr>
        <w:t xml:space="preserve"> communication interface standard, or equivalent; and (b) the March 2018 version of the ANSI/CTA-2045-A application layer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Compressors;</w:t>
      </w:r>
    </w:p>
    <w:p>
      <w:pPr>
        <w:spacing w:before="0" w:after="0" w:line="408" w:lineRule="exact"/>
        <w:ind w:left="0" w:right="0" w:firstLine="576"/>
        <w:jc w:val="left"/>
      </w:pPr>
      <w:r>
        <w:rPr>
          <w:u w:val="single"/>
        </w:rPr>
        <w:t xml:space="preserve">(e) Computers or computer monitors;</w:t>
      </w:r>
    </w:p>
    <w:p>
      <w:pPr>
        <w:spacing w:before="0" w:after="0" w:line="408" w:lineRule="exact"/>
        <w:ind w:left="0" w:right="0" w:firstLine="576"/>
        <w:jc w:val="left"/>
      </w:pPr>
      <w:r>
        <w:rPr>
          <w:u w:val="single"/>
        </w:rPr>
        <w:t xml:space="preserve">(f) Faucets;</w:t>
      </w:r>
    </w:p>
    <w:p>
      <w:pPr>
        <w:spacing w:before="0" w:after="0" w:line="408" w:lineRule="exact"/>
        <w:ind w:left="0" w:right="0" w:firstLine="576"/>
        <w:jc w:val="left"/>
      </w:pPr>
      <w:r>
        <w:rPr>
          <w:u w:val="single"/>
        </w:rPr>
        <w:t xml:space="preserve">(g) High CRI fluorescent lamps;</w:t>
      </w:r>
    </w:p>
    <w:p>
      <w:pPr>
        <w:spacing w:before="0" w:after="0" w:line="408" w:lineRule="exact"/>
        <w:ind w:left="0" w:right="0" w:firstLine="576"/>
        <w:jc w:val="left"/>
      </w:pPr>
      <w:r>
        <w:rPr>
          <w:u w:val="single"/>
        </w:rPr>
        <w:t xml:space="preserve">(h) Residential ventilating fans;</w:t>
      </w:r>
    </w:p>
    <w:p>
      <w:pPr>
        <w:spacing w:before="0" w:after="0" w:line="408" w:lineRule="exact"/>
        <w:ind w:left="0" w:right="0" w:firstLine="576"/>
        <w:jc w:val="left"/>
      </w:pPr>
      <w:r>
        <w:rPr>
          <w:u w:val="single"/>
        </w:rPr>
        <w:t xml:space="preserve">(i) Spray sprinkler bodies;</w:t>
      </w:r>
    </w:p>
    <w:p>
      <w:pPr>
        <w:spacing w:before="0" w:after="0" w:line="408" w:lineRule="exact"/>
        <w:ind w:left="0" w:right="0" w:firstLine="576"/>
        <w:jc w:val="left"/>
      </w:pPr>
      <w:r>
        <w:rPr>
          <w:u w:val="single"/>
        </w:rPr>
        <w:t xml:space="preserve">(j) Showerheads;</w:t>
      </w:r>
    </w:p>
    <w:p>
      <w:pPr>
        <w:spacing w:before="0" w:after="0" w:line="408" w:lineRule="exact"/>
        <w:ind w:left="0" w:right="0" w:firstLine="576"/>
        <w:jc w:val="left"/>
      </w:pPr>
      <w:r>
        <w:rPr>
          <w:u w:val="single"/>
        </w:rPr>
        <w:t xml:space="preserve">(k) Uninterruptible power supplies;</w:t>
      </w:r>
    </w:p>
    <w:p>
      <w:pPr>
        <w:spacing w:before="0" w:after="0" w:line="408" w:lineRule="exact"/>
        <w:ind w:left="0" w:right="0" w:firstLine="576"/>
        <w:jc w:val="left"/>
      </w:pPr>
      <w:r>
        <w:rPr>
          <w:u w:val="single"/>
        </w:rPr>
        <w:t xml:space="preserve">(l) Urinals and water closets;</w:t>
      </w:r>
    </w:p>
    <w:p>
      <w:pPr>
        <w:spacing w:before="0" w:after="0" w:line="408" w:lineRule="exact"/>
        <w:ind w:left="0" w:right="0" w:firstLine="576"/>
        <w:jc w:val="left"/>
      </w:pPr>
      <w:r>
        <w:rPr>
          <w:u w:val="single"/>
        </w:rPr>
        <w:t xml:space="preserve">(m) Water coolers;</w:t>
      </w:r>
    </w:p>
    <w:p>
      <w:pPr>
        <w:spacing w:before="0" w:after="0" w:line="408" w:lineRule="exact"/>
        <w:ind w:left="0" w:right="0" w:firstLine="576"/>
        <w:jc w:val="left"/>
      </w:pPr>
      <w:r>
        <w:rPr>
          <w:u w:val="single"/>
        </w:rPr>
        <w:t xml:space="preserve">(n) General service lamps; and</w:t>
      </w:r>
    </w:p>
    <w:p>
      <w:pPr>
        <w:spacing w:before="0" w:after="0" w:line="408" w:lineRule="exact"/>
        <w:ind w:left="0" w:right="0" w:firstLine="576"/>
        <w:jc w:val="left"/>
      </w:pPr>
      <w:r>
        <w:rPr>
          <w:u w:val="single"/>
        </w:rPr>
        <w:t xml:space="preserve">(o) Residential electric storage water heater.</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No new portable air conditioner manufactured on or after January 1, 2022, may be sold or offered for sale in the state unless the efficiency of the new product meets or exceeds the efficiency standards set forth in RCW 19.260.040.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3, 2017. The department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coordinate with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w:t>
      </w:r>
    </w:p>
    <w:p>
      <w:pPr>
        <w:spacing w:before="0" w:after="0" w:line="408" w:lineRule="exact"/>
        <w:ind w:left="0" w:right="0" w:firstLine="576"/>
        <w:jc w:val="left"/>
      </w:pPr>
      <w:r>
        <w:rPr/>
        <w:t xml:space="preserve">(4) The department may test products covered by RCW 19.260.030.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in paper form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shall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4f9b569c906840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6e7d0ac024dbf" /><Relationship Type="http://schemas.openxmlformats.org/officeDocument/2006/relationships/footer" Target="/word/footer1.xml" Id="R4f9b569c90684041" /></Relationships>
</file>