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dc6fd43444e90" /></Relationships>
</file>

<file path=word/document.xml><?xml version="1.0" encoding="utf-8"?>
<w:document xmlns:w="http://schemas.openxmlformats.org/wordprocessingml/2006/main">
  <w:body>
    <w:p>
      <w:r>
        <w:t>Z-0047.4</w:t>
      </w:r>
    </w:p>
    <w:p>
      <w:pPr>
        <w:jc w:val="center"/>
      </w:pPr>
      <w:r>
        <w:t>_______________________________________________</w:t>
      </w:r>
    </w:p>
    <w:p/>
    <w:p>
      <w:pPr>
        <w:jc w:val="center"/>
      </w:pPr>
      <w:r>
        <w:rPr>
          <w:b/>
        </w:rPr>
        <w:t>SENATE BILL 5125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Conway; by request of Department of Licensing</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consistency and efficiency in the regulation of auctioneers and auction companies, engineering and land surveying, real estate, funeral directors, and cosmetology; and amending RCW 18.11.085, 18.11.095, 18.43.130, 18.85.171, 18.43.050, 18.39.070, and 18.16.030.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 </w:t>
      </w:r>
      <w:r>
        <w:rPr>
          <w:u w:val="single"/>
        </w:rPr>
        <w:t xml:space="preserve">and, if an ownership entity other than sole proprietor or general partnership, be registered with the secretary of state</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director.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w:t>
      </w:r>
      <w:r>
        <w:rPr>
          <w:u w:val="single"/>
        </w:rPr>
        <w:t xml:space="preserve">and</w:t>
      </w:r>
      <w:r>
        <w:rPr/>
        <w:t xml:space="preserve"> the designation of a designated engineer or designated land surveyor, or both, specified in (b) of this subsection, </w:t>
      </w:r>
      <w:r>
        <w:t>((</w:t>
      </w:r>
      <w:r>
        <w:rPr>
          <w:strike/>
        </w:rPr>
        <w:t xml:space="preserve">a certificate of incorporation or certificate of authorization as filed with the secretary of state, and a copy of the corporation's current Washington business license,</w:t>
      </w:r>
      <w:r>
        <w:t>))</w:t>
      </w:r>
      <w:r>
        <w:rPr/>
        <w:t xml:space="preserv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w:t>
      </w:r>
      <w:r>
        <w:t>((</w:t>
      </w:r>
      <w:r>
        <w:rPr>
          <w:strike/>
        </w:rPr>
        <w:t xml:space="preserve">and</w:t>
      </w:r>
      <w:r>
        <w:t>))</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r>
        <w:rPr>
          <w:u w:val="single"/>
        </w:rPr>
        <w:t xml:space="preserve">; and</w:t>
      </w:r>
    </w:p>
    <w:p>
      <w:pPr>
        <w:spacing w:before="0" w:after="0" w:line="408" w:lineRule="exact"/>
        <w:ind w:left="0" w:right="0" w:firstLine="576"/>
        <w:jc w:val="left"/>
      </w:pPr>
      <w:r>
        <w:rPr>
          <w:u w:val="single"/>
        </w:rPr>
        <w:t xml:space="preserve">(iv) The corporation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director as provided in RCW 43.24.086 and an annual renewal fee determined by the director as provided in RCW 43.24.086.</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w:t>
      </w:r>
      <w:r>
        <w:rPr>
          <w:u w:val="single"/>
        </w:rPr>
        <w:t xml:space="preserve">and</w:t>
      </w:r>
      <w:r>
        <w:rPr/>
        <w:t xml:space="preserve"> an affidavit from the designated engineer or the designated land surveyor, or both, specified in (b) and (c) of this subsection, </w:t>
      </w:r>
      <w:r>
        <w:t>((</w:t>
      </w:r>
      <w:r>
        <w:rPr>
          <w:strike/>
        </w:rPr>
        <w:t xml:space="preserve">a copy of the certificate of formation as filed with the secretary of state, and a copy of the company's current business license,</w:t>
      </w:r>
      <w:r>
        <w:t>))</w:t>
      </w:r>
      <w:r>
        <w:rPr/>
        <w:t xml:space="preserv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r>
        <w:rPr>
          <w:u w:val="single"/>
        </w:rPr>
        <w:t xml:space="preserve">; and</w:t>
      </w:r>
    </w:p>
    <w:p>
      <w:pPr>
        <w:spacing w:before="0" w:after="0" w:line="408" w:lineRule="exact"/>
        <w:ind w:left="0" w:right="0" w:firstLine="576"/>
        <w:jc w:val="left"/>
      </w:pPr>
      <w:r>
        <w:rPr>
          <w:u w:val="single"/>
        </w:rPr>
        <w:t xml:space="preserve">(iv) The limited liability company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director as provided in RCW 43.24.086 and an annual renewal fee determined by the director as provided in RCW 43.24.086.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171</w:t>
      </w:r>
      <w:r>
        <w:rPr/>
        <w:t xml:space="preserve"> and 2008 c 23 s 17 are each amended to read as follows:</w:t>
      </w:r>
    </w:p>
    <w:p>
      <w:pPr>
        <w:spacing w:before="0" w:after="0" w:line="408" w:lineRule="exact"/>
        <w:ind w:left="0" w:right="0" w:firstLine="576"/>
        <w:jc w:val="left"/>
      </w:pPr>
      <w:r>
        <w:rPr/>
        <w:t xml:space="preserve">(1) A person desiring a license as a real estate firm shall apply on a form prescribed by the director. A person desiring a license as a real estate broker or managing broker must pay an examination fee and pass an examination. The person shall apply for an examination and for a license on a form prescribed by the director. Concurrently, the applicant shall </w:t>
      </w:r>
      <w:r>
        <w:rPr>
          <w:u w:val="single"/>
        </w:rPr>
        <w:t xml:space="preserve">meet the following requirements</w:t>
      </w:r>
      <w:r>
        <w:rPr/>
        <w:t xml:space="preserve">:</w:t>
      </w:r>
    </w:p>
    <w:p>
      <w:pPr>
        <w:spacing w:before="0" w:after="0" w:line="408" w:lineRule="exact"/>
        <w:ind w:left="0" w:right="0" w:firstLine="576"/>
        <w:jc w:val="left"/>
      </w:pPr>
      <w:r>
        <w:rPr/>
        <w:t xml:space="preserve">(a) Furnish other proof as the director may require concerning the honesty, truthfulness, and good reputation, as well as the identity, which may include fingerprints and criminal background checks, of any applicants for a license, or of the officers of a corporation, limited liability company, other legally recognized business entity, or the partners of a limited liability partnership or partnership, making the application;</w:t>
      </w:r>
    </w:p>
    <w:p>
      <w:pPr>
        <w:spacing w:before="0" w:after="0" w:line="408" w:lineRule="exact"/>
        <w:ind w:left="0" w:right="0" w:firstLine="576"/>
        <w:jc w:val="left"/>
      </w:pPr>
      <w:r>
        <w:rPr/>
        <w:t xml:space="preserve">(b) </w:t>
      </w:r>
      <w:r>
        <w:t>((</w:t>
      </w:r>
      <w:r>
        <w:rPr>
          <w:strike/>
        </w:rPr>
        <w:t xml:space="preserve">If the applicant is a corporation, furnish a certified copy of its articles of incorporation, and a list of its officers and directors and their addresses. If the applicant is a foreign corporation, the applicant shall furnish a certified copy of certificate of authority to conduct business in the state of Washington, a list of its officers and directors and their addresses, and evidence of current registration with the secretary of state. If the applicant is a limited liability company or other legally recognized business entity, the applicant shall furnish a list of the members and managers of the company and their addresses.</w:t>
      </w:r>
      <w:r>
        <w:t>))</w:t>
      </w:r>
      <w:r>
        <w:rPr/>
        <w:t xml:space="preserve"> </w:t>
      </w:r>
      <w:r>
        <w:rPr>
          <w:u w:val="single"/>
        </w:rPr>
        <w:t xml:space="preserve">If the applicant is a legally recognized business entity, except a general partnership, it must be registered with the secretary of state and must furnish a list of governors that includes:</w:t>
      </w:r>
    </w:p>
    <w:p>
      <w:pPr>
        <w:spacing w:before="0" w:after="0" w:line="408" w:lineRule="exact"/>
        <w:ind w:left="0" w:right="0" w:firstLine="576"/>
        <w:jc w:val="left"/>
      </w:pPr>
      <w:r>
        <w:rPr>
          <w:u w:val="single"/>
        </w:rPr>
        <w:t xml:space="preserve">(i) For corporations, a list of officers and directors and their addresses;</w:t>
      </w:r>
    </w:p>
    <w:p>
      <w:pPr>
        <w:spacing w:before="0" w:after="0" w:line="408" w:lineRule="exact"/>
        <w:ind w:left="0" w:right="0" w:firstLine="576"/>
        <w:jc w:val="left"/>
      </w:pPr>
      <w:r>
        <w:rPr>
          <w:u w:val="single"/>
        </w:rPr>
        <w:t xml:space="preserve">(ii) For limited liability companies, a list of members and managers and their addresses;</w:t>
      </w:r>
    </w:p>
    <w:p>
      <w:pPr>
        <w:spacing w:before="0" w:after="0" w:line="408" w:lineRule="exact"/>
        <w:ind w:left="0" w:right="0" w:firstLine="576"/>
        <w:jc w:val="left"/>
      </w:pPr>
      <w:r>
        <w:rPr>
          <w:u w:val="single"/>
        </w:rPr>
        <w:t xml:space="preserve">(iii) For limited liability partnerships, a list of the partners and their addresses; or</w:t>
      </w:r>
    </w:p>
    <w:p>
      <w:pPr>
        <w:spacing w:before="0" w:after="0" w:line="408" w:lineRule="exact"/>
        <w:ind w:left="0" w:right="0" w:firstLine="576"/>
        <w:jc w:val="left"/>
      </w:pPr>
      <w:r>
        <w:rPr>
          <w:u w:val="single"/>
        </w:rPr>
        <w:t xml:space="preserve">(iv) For other legal business entities, a list of the governors and their addresses.</w:t>
      </w:r>
    </w:p>
    <w:p>
      <w:pPr>
        <w:spacing w:before="0" w:after="0" w:line="408" w:lineRule="exact"/>
        <w:ind w:left="0" w:right="0" w:firstLine="576"/>
        <w:jc w:val="left"/>
      </w:pPr>
      <w:r>
        <w:rPr>
          <w:u w:val="single"/>
        </w:rPr>
        <w:t xml:space="preserve">(c)</w:t>
      </w:r>
      <w:r>
        <w:rPr/>
        <w:t xml:space="preserve"> If the applicant is a </w:t>
      </w:r>
      <w:r>
        <w:t>((</w:t>
      </w:r>
      <w:r>
        <w:rPr>
          <w:strike/>
        </w:rPr>
        <w:t xml:space="preserve">limited liability partnership or</w:t>
      </w:r>
      <w:r>
        <w:t>))</w:t>
      </w:r>
      <w:r>
        <w:rPr/>
        <w:t xml:space="preserve"> </w:t>
      </w:r>
      <w:r>
        <w:rPr>
          <w:u w:val="single"/>
        </w:rPr>
        <w:t xml:space="preserve">general</w:t>
      </w:r>
      <w:r>
        <w:rPr/>
        <w:t xml:space="preserve"> partnership, the applicant shall furnish </w:t>
      </w:r>
      <w:r>
        <w:rPr>
          <w:u w:val="single"/>
        </w:rPr>
        <w:t xml:space="preserve">a copy of the signed partnership agreement and</w:t>
      </w:r>
      <w:r>
        <w:rPr/>
        <w:t xml:space="preserve"> a list of the partners thereof and their addresses;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Unless the applicant is a corporation or limited liability company, complete a fingerprint-based background check through the Washington state patrol criminal identification system and through the federal bureau of investigation. The applicant must submit the fingerprints and required fee for the background check to the director for submission to the Washington state patrol. The director may consider the recent issuance of a license that required a fingerprint-based national criminal information background check, or recent employment in a position that required a fingerprint</w:t>
      </w:r>
      <w:r>
        <w:rPr/>
        <w:noBreakHyphen/>
      </w:r>
      <w:r>
        <w:rPr/>
        <w:t xml:space="preserve">based national criminal information background check, in addition to fingerprints to accelerate the licensing and endorsement process. The director may adopt rules to establish a procedure to allow a person covered by this section to have the person's background rechecked under this subsection upon application for a renewal license.</w:t>
      </w:r>
    </w:p>
    <w:p>
      <w:pPr>
        <w:spacing w:before="0" w:after="0" w:line="408" w:lineRule="exact"/>
        <w:ind w:left="0" w:right="0" w:firstLine="576"/>
        <w:jc w:val="left"/>
      </w:pPr>
      <w:r>
        <w:rPr/>
        <w:t xml:space="preserve">(2) The director must develop by rule a procedure and schedule to ensure all applicants for licensure have a fingerprint and background check done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w:t>
      </w:r>
      <w:r>
        <w:t>((</w:t>
      </w:r>
      <w:r>
        <w:rPr>
          <w:strike/>
        </w:rPr>
        <w:t xml:space="preserve">not less than five references, of whom three or more shall be</w:t>
      </w:r>
      <w:r>
        <w:t>))</w:t>
      </w:r>
      <w:r>
        <w:rPr/>
        <w:t xml:space="preserve"> </w:t>
      </w:r>
      <w:r>
        <w:rPr>
          <w:u w:val="single"/>
        </w:rPr>
        <w:t xml:space="preserve">verification of the technical work from professional</w:t>
      </w:r>
      <w:r>
        <w:rPr/>
        <w:t xml:space="preserve"> engineers </w:t>
      </w:r>
      <w:r>
        <w:t>((</w:t>
      </w:r>
      <w:r>
        <w:rPr>
          <w:strike/>
        </w:rPr>
        <w:t xml:space="preserve">having</w:t>
      </w:r>
      <w:r>
        <w:t>))</w:t>
      </w:r>
      <w:r>
        <w:rPr/>
        <w:t xml:space="preserve"> </w:t>
      </w:r>
      <w:r>
        <w:rPr>
          <w:u w:val="single"/>
        </w:rPr>
        <w:t xml:space="preserve">that supervised the applicant's technical work and have</w:t>
      </w:r>
      <w:r>
        <w:rPr/>
        <w:t xml:space="preserve">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director as provided in RCW 43.24.086, which shall accompany the application and shall include the cost of examination and issuance of certificate. The fee for engineer-in-training shall be determined by the director as provided in RCW 43.24.086,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director as provided in RCW 43.24.086, which shall accompany the application and shall include the cost of examination and issuance of certificate. The fee for land-surveyor-in-training shall be determined by the director as provided in RCW 43.24.086,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070</w:t>
      </w:r>
      <w:r>
        <w:rPr/>
        <w:t xml:space="preserve"> and 2005 c 365 s 5 are each amended to read as follows:</w:t>
      </w:r>
    </w:p>
    <w:p>
      <w:pPr>
        <w:spacing w:before="0" w:after="0" w:line="408" w:lineRule="exact"/>
        <w:ind w:left="0" w:right="0" w:firstLine="576"/>
        <w:jc w:val="left"/>
      </w:pPr>
      <w:r>
        <w:rPr/>
        <w:t xml:space="preserve">(1) License examinations shall be held by the director at least once each year at a time and place to be designated by the director. Application to take an examination shall be filed with the director at least fifteen days prior to the examination date. The department shall give each applicant written notice of the time and place of the next examination. The applicant shall be deemed to have passed an examination if the applicant attains a grade of not less than seventy-five percent in each examination. </w:t>
      </w:r>
      <w:r>
        <w:t>((</w:t>
      </w:r>
      <w:r>
        <w:rPr>
          <w:strike/>
        </w:rPr>
        <w:t xml:space="preserve">Any applicant who fails an examination shall be entitled, at no additional fee, to one retake of that examination.</w:t>
      </w:r>
      <w:r>
        <w:t>))</w:t>
      </w:r>
    </w:p>
    <w:p>
      <w:pPr>
        <w:spacing w:before="0" w:after="0" w:line="408" w:lineRule="exact"/>
        <w:ind w:left="0" w:right="0" w:firstLine="576"/>
        <w:jc w:val="left"/>
      </w:pPr>
      <w:r>
        <w:rPr/>
        <w:t xml:space="preserve">(2) An applicant for a license may take his or her written examination after completing the educational requirements and before completing the course of training required under RCW 18.39.035.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w:t>
      </w:r>
      <w:r>
        <w:rPr>
          <w:u w:val="single"/>
        </w:rPr>
        <w:t xml:space="preserve">and</w:t>
      </w:r>
    </w:p>
    <w:p>
      <w:pPr>
        <w:spacing w:before="0" w:after="0" w:line="408" w:lineRule="exact"/>
        <w:ind w:left="0" w:right="0" w:firstLine="576"/>
        <w:jc w:val="left"/>
      </w:pPr>
      <w:r>
        <w:rPr/>
        <w:t xml:space="preserve">(9) </w:t>
      </w:r>
      <w:r>
        <w:t>((</w:t>
      </w:r>
      <w:r>
        <w:rPr>
          <w:strike/>
        </w:rPr>
        <w:t xml:space="preserve">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strike/>
        </w:rPr>
        <w:t xml:space="preserve">(10)</w:t>
      </w:r>
      <w:r>
        <w:t>))</w:t>
      </w:r>
      <w:r>
        <w:rPr/>
        <w:t xml:space="preserve"> To make information available to the department of revenue to assist in collecting taxes from persons required to be licensed under this chapter.</w:t>
      </w:r>
    </w:p>
    <w:p/>
    <w:p>
      <w:pPr>
        <w:jc w:val="center"/>
      </w:pPr>
      <w:r>
        <w:rPr>
          <w:b/>
        </w:rPr>
        <w:t>--- END ---</w:t>
      </w:r>
    </w:p>
    <w:sectPr>
      <w:pgNumType w:start="1"/>
      <w:footerReference xmlns:r="http://schemas.openxmlformats.org/officeDocument/2006/relationships" r:id="R11dcc6aa72e44b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0473d3be7498c" /><Relationship Type="http://schemas.openxmlformats.org/officeDocument/2006/relationships/footer" Target="/word/footer1.xml" Id="R11dcc6aa72e44bd2" /></Relationships>
</file>