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b9c2128f349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Honeyford, Hunt, Van De Wege, Fortunato, and Pedersen)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daylight saving time in Washington state; amending RCW 1.20.051, 35A.21.190, and 35A.21.190; adding a new section to chapter 1.20 RCW; creating a new section; repealing RCW 1.20.051 and 1.20.050; providing a contingent effective date;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u w:val="single"/>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for the state is permanent daylight saving time year-round.</w:t>
      </w:r>
    </w:p>
    <w:p>
      <w:pPr>
        <w:spacing w:before="0" w:after="0" w:line="408" w:lineRule="exact"/>
        <w:ind w:left="0" w:right="0" w:firstLine="576"/>
        <w:jc w:val="left"/>
      </w:pPr>
      <w:r>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2019 c . . . s 3 (section 3 of this act)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1.20.051</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2019 c . . . s 2 (section 2 of this act), 2018 c 22 s 2, 1963 c 14 s 1, &amp; 1961 c 3 s 1 (Initiative Measure No. 210, approved November 8, 1960)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6 of this act take effect on the second Sunday in March in the year following the effective date of legislation passed by United States congress amending 15 U.S.C. Secs. 260a to authorize states to observe daylight saving time year-round.</w:t>
      </w:r>
    </w:p>
    <w:p>
      <w:pPr>
        <w:spacing w:before="0" w:after="0" w:line="408" w:lineRule="exact"/>
        <w:ind w:left="0" w:right="0" w:firstLine="576"/>
        <w:jc w:val="left"/>
      </w:pPr>
      <w:r>
        <w:rPr/>
        <w:t xml:space="preserve">(2) The department of commerce must provide notice of the effective date of sections 4 through 6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2c79a65525114e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0ce20257e492b" /><Relationship Type="http://schemas.openxmlformats.org/officeDocument/2006/relationships/footer" Target="/word/footer1.xml" Id="R2c79a65525114e10" /></Relationships>
</file>