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a21a7cdf9498f" /></Relationships>
</file>

<file path=word/document.xml><?xml version="1.0" encoding="utf-8"?>
<w:document xmlns:w="http://schemas.openxmlformats.org/wordprocessingml/2006/main">
  <w:body>
    <w:p>
      <w:r>
        <w:t>S-1031.2</w:t>
      </w:r>
    </w:p>
    <w:p>
      <w:pPr>
        <w:jc w:val="center"/>
      </w:pPr>
      <w:r>
        <w:t>_______________________________________________</w:t>
      </w:r>
    </w:p>
    <w:p/>
    <w:p>
      <w:pPr>
        <w:jc w:val="center"/>
      </w:pPr>
      <w:r>
        <w:rPr>
          <w:b/>
        </w:rPr>
        <w:t>SUBSTITUTE SENATE BILL 5143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Dhingra, Wellman, Das, Keiser, Palumbo, Darneille, Kuderer, and Saldaña)</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authorized removal, safekeeping, and return of firearms and ammunition by law enforcement during and after domestic violence incidents; amending RCW 10.99.030 and 9.41.345; and adding new sections to chapter 10.99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 to the extent feasible and otherwise allowed by law, seize all firearms and ammunition the peace officer has reasonable grounds to believe were used or threatened to be used in the commission of the offense and may seize all firearms and ammunition in plain sight or discovered pursuant to a consensual or other lawful search.</w:t>
      </w:r>
    </w:p>
    <w:p>
      <w:pPr>
        <w:spacing w:before="0" w:after="0" w:line="408" w:lineRule="exact"/>
        <w:ind w:left="0" w:right="0" w:firstLine="576"/>
        <w:jc w:val="left"/>
      </w:pPr>
      <w:r>
        <w:rPr>
          <w:u w:val="single"/>
        </w:rPr>
        <w:t xml:space="preserve">(b)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0" w:after="0" w:line="408" w:lineRule="exact"/>
        <w:ind w:left="0" w:right="0" w:firstLine="576"/>
        <w:jc w:val="left"/>
      </w:pPr>
      <w:r>
        <w:rPr>
          <w:u w:val="single"/>
        </w:rPr>
        <w:t xml:space="preserve">(6) An appointed or elected public official, public employee, or public agency as defined in RCW 4.24.470, or units of local government and its employees, as provided in RCW 36.28A.010, are immune from civil liability for damages arising out of the seizure or failure to seize a firearm, unless it is shown that the official, employee, or agency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
      <w:pPr>
        <w:jc w:val="center"/>
      </w:pPr>
      <w:r>
        <w:rPr>
          <w:b/>
        </w:rPr>
        <w:t>--- END ---</w:t>
      </w:r>
    </w:p>
    <w:sectPr>
      <w:pgNumType w:start="1"/>
      <w:footerReference xmlns:r="http://schemas.openxmlformats.org/officeDocument/2006/relationships" r:id="R6787a7c03bc345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027d8eac24cc3" /><Relationship Type="http://schemas.openxmlformats.org/officeDocument/2006/relationships/footer" Target="/word/footer1.xml" Id="R6787a7c03bc3455c" /></Relationships>
</file>