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cecde75733473d" /></Relationships>
</file>

<file path=word/document.xml><?xml version="1.0" encoding="utf-8"?>
<w:document xmlns:w="http://schemas.openxmlformats.org/wordprocessingml/2006/main">
  <w:body>
    <w:p>
      <w:r>
        <w:t>S-0149.1</w:t>
      </w:r>
    </w:p>
    <w:p>
      <w:pPr>
        <w:jc w:val="center"/>
      </w:pPr>
      <w:r>
        <w:t>_______________________________________________</w:t>
      </w:r>
    </w:p>
    <w:p/>
    <w:p>
      <w:pPr>
        <w:jc w:val="center"/>
      </w:pPr>
      <w:r>
        <w:rPr>
          <w:b/>
        </w:rPr>
        <w:t>SENATE BILL 5151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L., Becker, Honeyford, Zeiger, and Short</w:t>
      </w:r>
    </w:p>
    <w:p/>
    <w:p>
      <w:r>
        <w:rPr>
          <w:t xml:space="preserve">Prefiled 01/11/19.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growth management hearings board to topically index the rulings, decisions, and orders it publishes; and reenacting and amending RCW 36.70A.270.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2010 c 211 s 6 and 2010 c 210 s 16 are each reenacted and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Each board member shall receive reimbursement for travel expenses incurred in the discharge of his or her duties in accordance with RCW 43.03.050 and 43.03.060. Each member shall receive an annual salary to be determined by the governor pursuant to RCW 43.03.040. The principal office of the board shall be located in Olympia.</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and decisions it renders </w:t>
      </w:r>
      <w:r>
        <w:t>((</w:t>
      </w:r>
      <w:r>
        <w:rPr>
          <w:strike/>
        </w:rPr>
        <w:t xml:space="preserve">and</w:t>
      </w:r>
      <w:r>
        <w:t>))</w:t>
      </w:r>
      <w:r>
        <w:rPr>
          <w:u w:val="single"/>
        </w:rPr>
        <w:t xml:space="preserve">. All published rules and decisions must be indexed topically and by party. Finally, the board shall</w:t>
      </w:r>
      <w:r>
        <w:rPr/>
        <w:t xml:space="preserve"> arrange for the reasonable distribution of the rules and decisions </w:t>
      </w:r>
      <w:r>
        <w:rPr>
          <w:u w:val="single"/>
        </w:rPr>
        <w:t xml:space="preserve">reasonably soon after issuance. All rulings, decisions, and orders issued before the beginning of 2019 shall be published by the conclusion of the year 2019</w:t>
      </w:r>
      <w:r>
        <w:rPr/>
        <w:t xml:space="preserve">.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t xml:space="preserve">(9)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(10) The board shall annually elect one of its members to be the board administrative officer. The duties and responsibilities of the administrative officer include 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p>
    <w:p/>
    <w:p>
      <w:pPr>
        <w:jc w:val="center"/>
      </w:pPr>
      <w:r>
        <w:rPr>
          <w:b/>
        </w:rPr>
        <w:t>--- END ---</w:t>
      </w:r>
    </w:p>
    <w:sectPr>
      <w:pgNumType w:start="1"/>
      <w:footerReference xmlns:r="http://schemas.openxmlformats.org/officeDocument/2006/relationships" r:id="R562dc14a618044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5996d706047da" /><Relationship Type="http://schemas.openxmlformats.org/officeDocument/2006/relationships/footer" Target="/word/footer1.xml" Id="R562dc14a6180440d" /></Relationships>
</file>