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3f54fd950d41f3" /></Relationships>
</file>

<file path=word/document.xml><?xml version="1.0" encoding="utf-8"?>
<w:document xmlns:w="http://schemas.openxmlformats.org/wordprocessingml/2006/main">
  <w:body>
    <w:p>
      <w:r>
        <w:t>S-0226.1</w:t>
      </w:r>
    </w:p>
    <w:p>
      <w:pPr>
        <w:jc w:val="center"/>
      </w:pPr>
      <w:r>
        <w:t>_______________________________________________</w:t>
      </w:r>
    </w:p>
    <w:p/>
    <w:p>
      <w:pPr>
        <w:jc w:val="center"/>
      </w:pPr>
      <w:r>
        <w:rPr>
          <w:b/>
        </w:rPr>
        <w:t>SENATE BILL 5194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of urban growth area boundaries; amending RCW 36.70A.110 and 36.70A.130;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w:t>
      </w:r>
      <w:r>
        <w:rPr>
          <w:u w:val="single"/>
        </w:rPr>
        <w:t xml:space="preserve">economic development projections,</w:t>
      </w:r>
      <w:r>
        <w:rPr/>
        <w:t xml:space="preserve">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w:t>
      </w:r>
      <w:r>
        <w:t>((</w:t>
      </w:r>
      <w:r>
        <w:rPr>
          <w:strike/>
        </w:rPr>
        <w:t xml:space="preserve">housing</w:t>
      </w:r>
      <w:r>
        <w:t>))</w:t>
      </w:r>
      <w:r>
        <w:rPr/>
        <w:t xml:space="preserve"> </w:t>
      </w:r>
      <w:r>
        <w:rPr>
          <w:u w:val="single"/>
        </w:rPr>
        <w:t xml:space="preserve">a balance of housing types at a variety of economic price points</w:t>
      </w:r>
      <w:r>
        <w:rPr/>
        <w:t xml:space="preserve">, including single-family residences; (c) identifies sufficient land for housing, including, but not limited to, government-assisted housing, housing for low-income families, manufactured housing, </w:t>
      </w:r>
      <w:r>
        <w:rPr>
          <w:u w:val="single"/>
        </w:rPr>
        <w:t xml:space="preserve">tiny houses with and without wheels,</w:t>
      </w:r>
      <w:r>
        <w:rPr/>
        <w:t xml:space="preserve">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w:t>
      </w:r>
      <w:r>
        <w:t>((</w:t>
      </w:r>
      <w:r>
        <w:rPr>
          <w:strike/>
        </w:rPr>
        <w:t xml:space="preserve">Based upon</w:t>
      </w:r>
      <w:r>
        <w:t>))</w:t>
      </w:r>
      <w:r>
        <w:rPr/>
        <w:t xml:space="preserve"> </w:t>
      </w:r>
      <w:r>
        <w:rPr>
          <w:u w:val="single"/>
        </w:rPr>
        <w:t xml:space="preserve">Urban character refers to patterns of land use and development established by a county in the urban growth areas of its comprehensive plan:</w:t>
      </w:r>
    </w:p>
    <w:p>
      <w:pPr>
        <w:spacing w:before="0" w:after="0" w:line="408" w:lineRule="exact"/>
        <w:ind w:left="0" w:right="0" w:firstLine="576"/>
        <w:jc w:val="left"/>
      </w:pPr>
      <w:r>
        <w:rPr>
          <w:u w:val="single"/>
        </w:rPr>
        <w:t xml:space="preserve">(a) In which narrow thoroughfares, cityscapes, and human habitation predominate;</w:t>
      </w:r>
    </w:p>
    <w:p>
      <w:pPr>
        <w:spacing w:before="0" w:after="0" w:line="408" w:lineRule="exact"/>
        <w:ind w:left="0" w:right="0" w:firstLine="576"/>
        <w:jc w:val="left"/>
      </w:pPr>
      <w:r>
        <w:rPr>
          <w:u w:val="single"/>
        </w:rPr>
        <w:t xml:space="preserve">(b) That foster organized, structured human lifestyles, urban economies, and opportunities for commercial, service-based, and technological employment and lifestyles;</w:t>
      </w:r>
    </w:p>
    <w:p>
      <w:pPr>
        <w:spacing w:before="0" w:after="0" w:line="408" w:lineRule="exact"/>
        <w:ind w:left="0" w:right="0" w:firstLine="576"/>
        <w:jc w:val="left"/>
      </w:pPr>
      <w:r>
        <w:rPr>
          <w:u w:val="single"/>
        </w:rPr>
        <w:t xml:space="preserve">(c) That provide visual landscapes traditionally found in urban areas and suburban communities;</w:t>
      </w:r>
    </w:p>
    <w:p>
      <w:pPr>
        <w:spacing w:before="0" w:after="0" w:line="408" w:lineRule="exact"/>
        <w:ind w:left="0" w:right="0" w:firstLine="576"/>
        <w:jc w:val="left"/>
      </w:pPr>
      <w:r>
        <w:rPr>
          <w:u w:val="single"/>
        </w:rPr>
        <w:t xml:space="preserve">(d) That are compatible with the use of land for transportation, human habitation, and commercial development;</w:t>
      </w:r>
    </w:p>
    <w:p>
      <w:pPr>
        <w:spacing w:before="0" w:after="0" w:line="408" w:lineRule="exact"/>
        <w:ind w:left="0" w:right="0" w:firstLine="576"/>
        <w:jc w:val="left"/>
      </w:pPr>
      <w:r>
        <w:rPr>
          <w:u w:val="single"/>
        </w:rPr>
        <w:t xml:space="preserve">(e) That reduce the inappropriate conversion of undeveloped land into sprawling, low-density development by encouraging compact, efficient use of space for commerce and human habitation;</w:t>
      </w:r>
    </w:p>
    <w:p>
      <w:pPr>
        <w:spacing w:before="0" w:after="0" w:line="408" w:lineRule="exact"/>
        <w:ind w:left="0" w:right="0" w:firstLine="576"/>
        <w:jc w:val="left"/>
      </w:pPr>
      <w:r>
        <w:rPr>
          <w:u w:val="single"/>
        </w:rPr>
        <w:t xml:space="preserve">(f) That provide urban governmental services; and</w:t>
      </w:r>
    </w:p>
    <w:p>
      <w:pPr>
        <w:spacing w:before="0" w:after="0" w:line="408" w:lineRule="exact"/>
        <w:ind w:left="0" w:right="0" w:firstLine="576"/>
        <w:jc w:val="left"/>
      </w:pPr>
      <w:r>
        <w:rPr>
          <w:u w:val="single"/>
        </w:rPr>
        <w:t xml:space="preserve">(g) That are consistent with the balanced development of infrastructure desired for civilized human habitation, provision of green space for human health, and convenient provision of other services desired for public health, safety, and welfare.</w:t>
      </w:r>
    </w:p>
    <w:p>
      <w:pPr>
        <w:spacing w:before="0" w:after="0" w:line="408" w:lineRule="exact"/>
        <w:ind w:left="0" w:right="0" w:firstLine="576"/>
        <w:jc w:val="left"/>
      </w:pPr>
      <w:r>
        <w:rPr>
          <w:u w:val="single"/>
        </w:rPr>
        <w:t xml:space="preserve">(3) Counties and cities within the counties may utilize</w:t>
      </w:r>
      <w:r>
        <w:rPr/>
        <w:t xml:space="preserve"> the growth management population projection </w:t>
      </w:r>
      <w:r>
        <w:rPr>
          <w:u w:val="single"/>
        </w:rPr>
        <w:t xml:space="preserve">and median household income estimates and projections</w:t>
      </w:r>
      <w:r>
        <w:rPr/>
        <w:t xml:space="preserve"> made for the county by the office of financial management</w:t>
      </w:r>
      <w:r>
        <w:t>((</w:t>
      </w:r>
      <w:r>
        <w:rPr>
          <w:strike/>
        </w:rPr>
        <w:t xml:space="preserve">, the county and each city within the county shall include areas and densities sufficient</w:t>
      </w:r>
      <w:r>
        <w:t>))</w:t>
      </w:r>
      <w:r>
        <w:rPr>
          <w:u w:val="single"/>
        </w:rPr>
        <w:t xml:space="preserve">; and the housing inventory characteristics, values, resident characteristics, and forecasted housing gap prepared by the department of commerce affordable housing advisory board</w:t>
      </w:r>
      <w:r>
        <w:rPr/>
        <w:t xml:space="preserve"> to permit the urban growth that is projected to occur in the county or city for the succeeding twenty-year period </w:t>
      </w:r>
      <w:r>
        <w:rPr>
          <w:u w:val="single"/>
        </w:rPr>
        <w:t xml:space="preserve">in such a way as to encourage a variety of housing types, values, and densities</w:t>
      </w:r>
      <w:r>
        <w:rPr/>
        <w:t xml:space="preserve">,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county shall include designations of urban growth areas in its comprehensive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w:t>
      </w:r>
      <w:r>
        <w:t>((</w:t>
      </w:r>
      <w:r>
        <w:rPr>
          <w:strike/>
        </w:rPr>
        <w:t xml:space="preserve">(2)</w:t>
      </w:r>
      <w:r>
        <w:t>))</w:t>
      </w:r>
      <w:r>
        <w:rPr/>
        <w:t xml:space="preserve"> </w:t>
      </w:r>
      <w:r>
        <w:rPr>
          <w:u w:val="single"/>
        </w:rPr>
        <w:t xml:space="preserve">(3)</w:t>
      </w:r>
      <w:r>
        <w:rPr/>
        <w:t xml:space="preserve">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w:t>
      </w:r>
      <w:r>
        <w:t>((</w:t>
      </w:r>
      <w:r>
        <w:rPr>
          <w:strike/>
        </w:rPr>
        <w:t xml:space="preserve">or in accordance with the provisions of subsection (6) of this section</w:t>
      </w:r>
      <w:r>
        <w:t>))</w:t>
      </w:r>
      <w:r>
        <w:rPr/>
        <w:t xml:space="preserve">.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43.21C.031(2),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w:t>
      </w:r>
      <w:r>
        <w:t>((</w:t>
      </w:r>
      <w:r>
        <w:rPr>
          <w:strike/>
        </w:rPr>
        <w:t xml:space="preserve">schedules</w:t>
      </w:r>
      <w:r>
        <w:t>))</w:t>
      </w:r>
      <w:r>
        <w:rPr/>
        <w:t xml:space="preserve"> </w:t>
      </w:r>
      <w:r>
        <w:rPr>
          <w:u w:val="single"/>
        </w:rPr>
        <w:t xml:space="preserve">deadline</w:t>
      </w:r>
      <w:r>
        <w:rPr/>
        <w:t xml:space="preserve"> established in subsection (5) of this section, its designated urban growth area or areas, and the densities</w:t>
      </w:r>
      <w:r>
        <w:rPr>
          <w:u w:val="single"/>
        </w:rPr>
        <w:t xml:space="preserve">, commercial uses, and housing</w:t>
      </w:r>
      <w:r>
        <w:rPr/>
        <w:t xml:space="preserve"> permitted within both the incorporated and unincorporated portions of each urban growth area </w:t>
      </w:r>
      <w:r>
        <w:rPr>
          <w:u w:val="single"/>
        </w:rPr>
        <w:t xml:space="preserve">to ensure the urban growth area contains a balance of market supply of housing types, at a variety of economic price points and densities and increased economic development</w:t>
      </w:r>
      <w:r>
        <w:rPr/>
        <w:t xml:space="preserve">. In conjunction with this review by the county, each city located within an urban growth area shall review the densities</w:t>
      </w:r>
      <w:r>
        <w:rPr>
          <w:u w:val="single"/>
        </w:rPr>
        <w:t xml:space="preserve">, commercial uses, and housing</w:t>
      </w:r>
      <w:r>
        <w:rPr/>
        <w:t xml:space="preserve">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w:t>
      </w:r>
      <w:r>
        <w:t>((</w:t>
      </w:r>
      <w:r>
        <w:rPr>
          <w:strike/>
        </w:rPr>
        <w:t xml:space="preserve">the densities permitted in the urban growth areas by</w:t>
      </w:r>
      <w:r>
        <w:t>))</w:t>
      </w:r>
      <w:r>
        <w:rPr/>
        <w:t xml:space="preserve"> the comprehensive plans of </w:t>
      </w:r>
      <w:r>
        <w:t>((</w:t>
      </w:r>
      <w:r>
        <w:rPr>
          <w:strike/>
        </w:rPr>
        <w:t xml:space="preserve">the county and</w:t>
      </w:r>
      <w:r>
        <w:t>))</w:t>
      </w:r>
      <w:r>
        <w:rPr/>
        <w:t xml:space="preserve"> each city located within the urban growth areas, shall be revised to accommodate the urban growth </w:t>
      </w:r>
      <w:r>
        <w:rPr>
          <w:u w:val="single"/>
        </w:rPr>
        <w:t xml:space="preserve">that has developed since the prior review and to achieve the industrial, commercial, and residential growth</w:t>
      </w:r>
      <w:r>
        <w:rPr/>
        <w:t xml:space="preserve">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u w:val="single"/>
        </w:rPr>
        <w:t xml:space="preserve">(c) The county comprehensive plan designating urban growth areas and the comprehensive plans of each city located within the urban growth areas shall consider the cost burden of housing on households within their jurisdiction in developing a comprehensive plan that allows for a variety and balance of uses, densities, housing types, and housing values. If upon review, more than one-third of the households in the jurisdiction are considered cost-burdened by paying more than thirty to fifty percent of their household income for housing or severely cost-burdened by paying more than fifty percent of their household income for housing, the urban growth area shall be expanded.</w:t>
      </w:r>
    </w:p>
    <w:p>
      <w:pPr>
        <w:spacing w:before="0" w:after="0" w:line="408" w:lineRule="exact"/>
        <w:ind w:left="0" w:right="0" w:firstLine="576"/>
        <w:jc w:val="left"/>
      </w:pPr>
      <w:r>
        <w:rPr/>
        <w:t xml:space="preserve">(4) </w:t>
      </w:r>
      <w:r>
        <w:t>((</w:t>
      </w:r>
      <w:r>
        <w:rPr>
          <w:strike/>
        </w:rPr>
        <w:t xml:space="preserve">Except as provided in subsection (6) of this section,</w:t>
      </w:r>
      <w:r>
        <w:t>))</w:t>
      </w:r>
      <w:r>
        <w:rPr/>
        <w:t xml:space="preserve"> </w:t>
      </w:r>
      <w:r>
        <w:rPr>
          <w:u w:val="single"/>
        </w:rPr>
        <w:t xml:space="preserve">C</w:t>
      </w:r>
      <w:r>
        <w:rPr/>
        <w:t xml:space="preserve">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w:t>
      </w:r>
      <w:r>
        <w:t>((</w:t>
      </w:r>
      <w:r>
        <w:rPr>
          <w:strike/>
        </w:rPr>
        <w:t xml:space="preserve">s (6) and</w:t>
      </w:r>
      <w:r>
        <w:t>))</w:t>
      </w:r>
      <w:r>
        <w:rPr/>
        <w:t xml:space="preserve">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w:t>
      </w:r>
      <w:r>
        <w:t>((</w:t>
      </w:r>
      <w:r>
        <w:rPr>
          <w:strike/>
        </w:rPr>
        <w:t xml:space="preserve">as follows:</w:t>
      </w:r>
    </w:p>
    <w:p>
      <w:pPr>
        <w:spacing w:before="0" w:after="0" w:line="408" w:lineRule="exact"/>
        <w:ind w:left="0" w:right="0" w:firstLine="576"/>
        <w:jc w:val="left"/>
      </w:pPr>
      <w:r>
        <w:rPr>
          <w:strike/>
        </w:rPr>
        <w:t xml:space="preserve">(a) On or before June 30, 2015, and every eight years thereafter, for King, Pierce, and Snohomish counties and the cities within those counties;</w:t>
      </w:r>
    </w:p>
    <w:p>
      <w:pPr>
        <w:spacing w:before="0" w:after="0" w:line="408" w:lineRule="exact"/>
        <w:ind w:left="0" w:right="0" w:firstLine="576"/>
        <w:jc w:val="left"/>
      </w:pPr>
      <w:r>
        <w:rPr>
          <w:strike/>
        </w:rPr>
        <w:t xml:space="preserve">(b) On or before June 30, 2016, and every eight years thereafter, for Clallam, Clark, Island, Jefferson, Kitsap, Mason, San Juan, Skagit, Thurston, and Whatcom counties and the cities within those counties;</w:t>
      </w:r>
    </w:p>
    <w:p>
      <w:pPr>
        <w:spacing w:before="0" w:after="0" w:line="408" w:lineRule="exact"/>
        <w:ind w:left="0" w:right="0" w:firstLine="576"/>
        <w:jc w:val="left"/>
      </w:pPr>
      <w:r>
        <w:rPr>
          <w:strike/>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strike/>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r>
        <w:t>))</w:t>
      </w:r>
      <w:r>
        <w:rPr/>
        <w:t xml:space="preserve"> </w:t>
      </w:r>
      <w:r>
        <w:rPr>
          <w:u w:val="single"/>
        </w:rPr>
        <w:t xml:space="preserve">within the five years following the publishing of the federal census to ensure the counties have complete data with which to review the comprehensive plan</w:t>
      </w:r>
      <w:r>
        <w:rPr/>
        <w:t xml:space="preserve">.</w:t>
      </w:r>
    </w:p>
    <w:p>
      <w:pPr>
        <w:spacing w:before="0" w:after="0" w:line="408" w:lineRule="exact"/>
        <w:ind w:left="0" w:right="0" w:firstLine="576"/>
        <w:jc w:val="left"/>
      </w:pPr>
      <w:r>
        <w:rPr/>
        <w:t xml:space="preserve">(6)</w:t>
      </w:r>
      <w:r>
        <w:t>((</w:t>
      </w:r>
      <w:r>
        <w:rPr>
          <w:strike/>
        </w:rPr>
        <w:t xml:space="preserve">(a)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strike/>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strike/>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strike/>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strike/>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strike/>
        </w:rPr>
        <w:t xml:space="preserve">(g)</w:t>
      </w:r>
      <w:r>
        <w:t>))</w:t>
      </w:r>
      <w:r>
        <w:rPr/>
        <w:t xml:space="preserve">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 </w:t>
      </w:r>
      <w:r>
        <w:rPr>
          <w:u w:val="single"/>
        </w:rPr>
        <w:t xml:space="preserve">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r>
        <w:t>((</w:t>
      </w:r>
      <w:r>
        <w:rPr>
          <w:strike/>
        </w:rPr>
        <w:t xml:space="preserve">; or</w:t>
      </w:r>
    </w:p>
    <w:p>
      <w:pPr>
        <w:spacing w:before="0" w:after="0" w:line="408" w:lineRule="exact"/>
        <w:ind w:left="0" w:right="0" w:firstLine="576"/>
        <w:jc w:val="left"/>
      </w:pPr>
      <w:r>
        <w:rPr>
          <w:strike/>
        </w:rPr>
        <w:t xml:space="preserve">(iii) Complying with the extension provisions of subsection (6)(b), (c), or (d) of this section</w:t>
      </w:r>
      <w:r>
        <w:t>))</w:t>
      </w:r>
      <w:r>
        <w:rPr/>
        <w:t xml:space="preserve">.</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140c72b3e4be47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ac10878de480b" /><Relationship Type="http://schemas.openxmlformats.org/officeDocument/2006/relationships/footer" Target="/word/footer1.xml" Id="R140c72b3e4be472e" /></Relationships>
</file>