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7fc27888447ad" /></Relationships>
</file>

<file path=word/document.xml><?xml version="1.0" encoding="utf-8"?>
<w:document xmlns:w="http://schemas.openxmlformats.org/wordprocessingml/2006/main">
  <w:body>
    <w:p>
      <w:r>
        <w:t>S-0509.3</w:t>
      </w:r>
    </w:p>
    <w:p>
      <w:pPr>
        <w:jc w:val="center"/>
      </w:pPr>
      <w:r>
        <w:t>_______________________________________________</w:t>
      </w:r>
    </w:p>
    <w:p/>
    <w:p>
      <w:pPr>
        <w:jc w:val="center"/>
      </w:pPr>
      <w:r>
        <w:rPr>
          <w:b/>
        </w:rPr>
        <w:t>SENATE BILL 5195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Das, Zeiger, and Fortunato</w:t>
      </w:r>
    </w:p>
    <w:p/>
    <w:p>
      <w:r>
        <w:rPr>
          <w:t xml:space="preserve">Read first time 01/15/19.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authority to use real estate excise taxes to support affordable housing and homelessness projects; amending RCW 82.46.035 and 82.46.037;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r>
        <w:rPr/>
        <w:t xml:space="preserve"> planning, construction, reconstruction, repair, rehabilitation, or improvement of parks</w:t>
      </w:r>
      <w:r>
        <w:rPr>
          <w:u w:val="single"/>
        </w:rPr>
        <w:t xml:space="preserve">; and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1cdfd175903745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e5e2e95e84485" /><Relationship Type="http://schemas.openxmlformats.org/officeDocument/2006/relationships/footer" Target="/word/footer1.xml" Id="R1cdfd175903745ba" /></Relationships>
</file>