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93c253e6234db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Takko and Saldaña)</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to impose special excise taxes on the sale of lodging in counties with a population of less than four hundred thousand; amending RCW 67.28.181 and 82.14.410;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w:t>
      </w:r>
      <w:r>
        <w:t>((</w:t>
      </w:r>
      <w:r>
        <w:rPr>
          <w:strike/>
        </w:rPr>
        <w:t xml:space="preserve">shall</w:t>
      </w:r>
      <w:r>
        <w:t>))</w:t>
      </w:r>
      <w:r>
        <w:rPr/>
        <w:t xml:space="preserve"> </w:t>
      </w:r>
      <w:r>
        <w:rPr>
          <w:u w:val="single"/>
        </w:rPr>
        <w:t xml:space="preserve">may</w:t>
      </w:r>
      <w:r>
        <w:rPr/>
        <w:t xml:space="preserve"> not exceed the lesser of two percent or a rate that, when combined with all other taxes imposed upon sales of lodging within the municipality under this chapter and chapters 36.100, 67.40,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w:t>
      </w:r>
      <w:r>
        <w:rPr>
          <w:u w:val="single"/>
        </w:rPr>
        <w:t xml:space="preserve">Except as otherwise provided in this subsection (2)(b), i</w:t>
      </w:r>
      <w:r>
        <w:rPr/>
        <w:t xml:space="preserve">f a city or town, other than a municipality imposing a tax under (a) of this subsection, is located in a county that imposed taxes under this chapter with a total rate of four percent or more on January 1, 1997, the city or town may not impose a tax under this section. </w:t>
      </w:r>
      <w:r>
        <w:rPr>
          <w:u w:val="single"/>
        </w:rPr>
        <w:t xml:space="preserve">Beginning July 1, 2020, this subsection (2)(b) does not apply to any city or town located in a county with a population of less than four hundred thousand.</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67.40,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 under RCW 82.14.530 is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 and taxes imposed under RCW 82.14.530 </w:t>
      </w:r>
      <w:r>
        <w:rPr>
          <w:u w:val="single"/>
        </w:rPr>
        <w:t xml:space="preserve">and 67.28.181(2)(b)</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c9474c7e4a5f4c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2800fb8e1464b" /><Relationship Type="http://schemas.openxmlformats.org/officeDocument/2006/relationships/footer" Target="/word/footer1.xml" Id="Rc9474c7e4a5f4c03" /></Relationships>
</file>