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58d55b8dc4b02" /></Relationships>
</file>

<file path=word/document.xml><?xml version="1.0" encoding="utf-8"?>
<w:document xmlns:w="http://schemas.openxmlformats.org/wordprocessingml/2006/main">
  <w:body>
    <w:p>
      <w:r>
        <w:t>S-0640.2</w:t>
      </w:r>
    </w:p>
    <w:p>
      <w:pPr>
        <w:jc w:val="center"/>
      </w:pPr>
      <w:r>
        <w:t>_______________________________________________</w:t>
      </w:r>
    </w:p>
    <w:p/>
    <w:p>
      <w:pPr>
        <w:jc w:val="center"/>
      </w:pPr>
      <w:r>
        <w:rPr>
          <w:b/>
        </w:rPr>
        <w:t>SENATE BILL 5233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and Conway</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alternative process for sick leave benefits for workers represented by collective bargaining agreements;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Initiative 1433 is a good law approved by the voters to establish sick leave benefits for workers. The law creates necessary worker protections while simultaneously reducing the spread of communicable sickness and disease and addressing other public health and safety concerns.</w:t>
      </w:r>
    </w:p>
    <w:p>
      <w:pPr>
        <w:spacing w:before="0" w:after="0" w:line="408" w:lineRule="exact"/>
        <w:ind w:left="0" w:right="0" w:firstLine="576"/>
        <w:jc w:val="left"/>
      </w:pPr>
      <w:r>
        <w:rPr/>
        <w:t xml:space="preserve">However, the legislature finds that this new law does not provide for flexibility and portability of benefits for construction workers who may work for multiple employers and who already negotiate wages and benefits with their employers. Workers covered under a collective bargaining agreement for the construction industry should be allowed the ability to negotiate comparable benefits that ensures that eligibility can be achieved and that the benefits are portable from employer to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sick leave provisions of RCW 49.46.200 through 49.46.830 shall not apply to workers covered by a bona fide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provisions for sick leave that meet or exceed the benefits provided under RCW 49.46.200 through 49.46.830 and the rules adopted by the department of labor and industries;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Upon ratification of a collective bargaining agreement that meets the requirements specified in subsection (1) of this section, the signatory union shall submit a copy to the department of labor and industries.</w:t>
      </w:r>
    </w:p>
    <w:p/>
    <w:p>
      <w:pPr>
        <w:jc w:val="center"/>
      </w:pPr>
      <w:r>
        <w:rPr>
          <w:b/>
        </w:rPr>
        <w:t>--- END ---</w:t>
      </w:r>
    </w:p>
    <w:sectPr>
      <w:pgNumType w:start="1"/>
      <w:footerReference xmlns:r="http://schemas.openxmlformats.org/officeDocument/2006/relationships" r:id="Ra17e7e1be8ed4b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4da8e31fe486b" /><Relationship Type="http://schemas.openxmlformats.org/officeDocument/2006/relationships/footer" Target="/word/footer1.xml" Id="Ra17e7e1be8ed4b58" /></Relationships>
</file>