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57d4af59e4ae2" /></Relationships>
</file>

<file path=word/document.xml><?xml version="1.0" encoding="utf-8"?>
<w:document xmlns:w="http://schemas.openxmlformats.org/wordprocessingml/2006/main">
  <w:body>
    <w:p>
      <w:r>
        <w:t>S-2151.2</w:t>
      </w:r>
    </w:p>
    <w:p>
      <w:pPr>
        <w:jc w:val="center"/>
      </w:pPr>
      <w:r>
        <w:t>_______________________________________________</w:t>
      </w:r>
    </w:p>
    <w:p/>
    <w:p>
      <w:pPr>
        <w:jc w:val="center"/>
      </w:pPr>
      <w:r>
        <w:rPr>
          <w:b/>
        </w:rPr>
        <w:t>SUBSTITUTE SENATE BILL 5247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Frockt, Zeiger, Hobbs, Bailey, Rolfes, Hunt, Conway, Das, Honeyford, Keiser, and Mullet; by request of Military Department)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catastrophic incidents that are natural or human-caused emergencies; amending RCW 38.52.010 and 38.52.030;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widespread impact of damage, casualties, and displacement of people resulting from a catastrophic incident makes it one of the most important topics in emergency management today. A catastrophic incident can result in tens of thousands of casualties and displaced people, and significantly disrupt the functioning of our infrastructure and economy; will almost immediately exceed the resources normally available to state, tribal, local, and private sector authorities for response; and will significantly disrupt governmental operations, schools, and the availability of emergency services. The characteristics of the precipitating event will severely aggravate the response strategy and quickly exhaust the capabilities and resources available in the impacted area, requiring significant resources from outside the area.</w:t>
      </w:r>
    </w:p>
    <w:p>
      <w:pPr>
        <w:spacing w:before="0" w:after="0" w:line="408" w:lineRule="exact"/>
        <w:ind w:left="0" w:right="0" w:firstLine="576"/>
        <w:jc w:val="left"/>
      </w:pPr>
      <w:r>
        <w:rPr/>
        <w:t xml:space="preserve">(2) The legislature further finds that joint local, state, and federal agencies must plan and prepare to provide extraordinary levels of lifesaving, life-sustaining, and other resources necessary to respond to the no notice or short notice hazard represented by a seismic catastrophic incident. Schools with their large number of vulnerable children, will need focused additional assistance to plan for seismic risks.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w:t>
      </w:r>
      <w:r>
        <w:rPr>
          <w:u w:val="single"/>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w:t>
      </w:r>
      <w:r>
        <w:rPr>
          <w:u w:val="single"/>
        </w:rPr>
        <w:t xml:space="preserve">-</w:t>
      </w:r>
      <w:r>
        <w:rPr/>
        <w:t xml:space="preserve">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(7)</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 "Emergency services building" means any building, including buildings designed and constructed, for public agencies used, or designed to be used, or any building a portion of which is used, or designed to be used, as a fire station, police station, emergency operations center, Washington state patrol office, sheriff's office, emergency communication dispatch center, or emergency shelter.</w:t>
      </w:r>
    </w:p>
    <w:p>
      <w:pPr>
        <w:spacing w:before="0" w:after="0" w:line="408" w:lineRule="exact"/>
        <w:ind w:left="0" w:right="0" w:firstLine="576"/>
        <w:jc w:val="left"/>
      </w:pP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 "Functional recovery standard" means a set of enforceable building code provisions and regulations that provide specific design and construction requirements intended to result in a building for which postearthquake structural and nonstructural capacity are maintained or can be restored to support the basic intended functions of the building's preearthquake use and occupancy within a maximum acceptable time, where the maximum acceptable time might differ for various uses or occupancies.</w:t>
      </w:r>
    </w:p>
    <w:p>
      <w:pPr>
        <w:spacing w:before="0" w:after="0" w:line="408" w:lineRule="exact"/>
        <w:ind w:left="0" w:right="0" w:firstLine="576"/>
        <w:jc w:val="left"/>
      </w:pPr>
      <w:r>
        <w:rPr>
          <w:u w:val="single"/>
        </w:rPr>
        <w:t xml:space="preserve">(14)</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"Search and rescue" means the acts of searching for, rescuing, or recovering by means of ground, marine, or air activity any person who becomes lost, injured, or is killed while outdoors or as a result of a natural, technological, or human</w:t>
      </w:r>
      <w:r>
        <w:rPr>
          <w:u w:val="single"/>
        </w:rPr>
        <w:t xml:space="preserve">-</w:t>
      </w:r>
      <w:r>
        <w:rPr/>
        <w:t xml:space="preserve">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w:t>
      </w:r>
      <w:r>
        <w:rPr>
          <w:u w:val="single"/>
        </w:rPr>
        <w:t xml:space="preserve">and a catastrophic incident emergency response plan</w:t>
      </w:r>
      <w:r>
        <w:rPr/>
        <w:t xml:space="preserve"> for the state which shall include an analysis of the natural, technological, or human</w:t>
      </w:r>
      <w:r>
        <w:rPr>
          <w:u w:val="single"/>
        </w:rPr>
        <w:t xml:space="preserve">-</w:t>
      </w:r>
      <w:r>
        <w:rPr/>
        <w:t xml:space="preserve">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w:t>
      </w:r>
      <w:r>
        <w:rPr>
          <w:u w:val="single"/>
        </w:rPr>
        <w:t xml:space="preserve">Subject to the availability of amounts appropriated for this specific purpose, the director may develop guidance, in consultation with the office of the superintendent of public instruction, that may be used by local school districts in developing, maintaining, training, and exercising catastrophic incident plans.</w:t>
      </w:r>
    </w:p>
    <w:p>
      <w:pPr>
        <w:spacing w:before="0" w:after="0" w:line="408" w:lineRule="exact"/>
        <w:ind w:left="0" w:right="0" w:firstLine="576"/>
        <w:jc w:val="left"/>
      </w:pPr>
      <w:r>
        <w:rPr>
          <w:u w:val="single"/>
        </w:rPr>
        <w:t xml:space="preserve">(5)</w:t>
      </w:r>
      <w:r>
        <w:rPr/>
        <w:t xml:space="preserve">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subject to the direction and control of the governor, shall prepare and administer a state program for emergency assistance to individuals within the state who are victims of a natural, technological, or human</w:t>
      </w:r>
      <w:r>
        <w:rPr>
          <w:u w:val="single"/>
        </w:rPr>
        <w:t xml:space="preserve">-</w:t>
      </w:r>
      <w:r>
        <w:rPr/>
        <w:t xml:space="preserve">caused disaster, as defined by RCW 38.52.010</w:t>
      </w:r>
      <w:r>
        <w:t>((</w:t>
      </w:r>
      <w:r>
        <w:rPr>
          <w:strike/>
        </w:rPr>
        <w:t xml:space="preserve">(6)</w:t>
      </w:r>
      <w:r>
        <w:t>))</w:t>
      </w:r>
      <w:r>
        <w:rPr/>
        <w:t xml:space="preserve"> </w:t>
      </w:r>
      <w:r>
        <w:rPr>
          <w:u w:val="single"/>
        </w:rPr>
        <w:t xml:space="preserve">(7)</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functional recovery task force is established to determine criteria and implementation measures necessary for the adoption of a functional recovery standard for all emergency services buildings and state-owned buildings.</w:t>
      </w:r>
    </w:p>
    <w:p>
      <w:pPr>
        <w:spacing w:before="0" w:after="0" w:line="408" w:lineRule="exact"/>
        <w:ind w:left="0" w:right="0" w:firstLine="576"/>
        <w:jc w:val="left"/>
      </w:pPr>
      <w:r>
        <w:rPr/>
        <w:t xml:space="preserve">(2) Implementation measures must include:</w:t>
      </w:r>
    </w:p>
    <w:p>
      <w:pPr>
        <w:spacing w:before="0" w:after="0" w:line="408" w:lineRule="exact"/>
        <w:ind w:left="0" w:right="0" w:firstLine="576"/>
        <w:jc w:val="left"/>
      </w:pPr>
      <w:r>
        <w:rPr/>
        <w:t xml:space="preserve">(a) Integration of infrastructure necessary to support functional recovery including, but not limited to, water availability, electrical power, transportation, communications, fuel, and other services;</w:t>
      </w:r>
    </w:p>
    <w:p>
      <w:pPr>
        <w:spacing w:before="0" w:after="0" w:line="408" w:lineRule="exact"/>
        <w:ind w:left="0" w:right="0" w:firstLine="576"/>
        <w:jc w:val="left"/>
      </w:pPr>
      <w:r>
        <w:rPr/>
        <w:t xml:space="preserve">(b) Practical means for implementing a functional recovery standard, including:</w:t>
      </w:r>
    </w:p>
    <w:p>
      <w:pPr>
        <w:spacing w:before="0" w:after="0" w:line="408" w:lineRule="exact"/>
        <w:ind w:left="0" w:right="0" w:firstLine="576"/>
        <w:jc w:val="left"/>
      </w:pPr>
      <w:r>
        <w:rPr/>
        <w:t xml:space="preserve">(i) Amendments to the state building code;</w:t>
      </w:r>
    </w:p>
    <w:p>
      <w:pPr>
        <w:spacing w:before="0" w:after="0" w:line="408" w:lineRule="exact"/>
        <w:ind w:left="0" w:right="0" w:firstLine="576"/>
        <w:jc w:val="left"/>
      </w:pPr>
      <w:r>
        <w:rPr/>
        <w:t xml:space="preserve">(ii) Estimated costs for compliance;</w:t>
      </w:r>
    </w:p>
    <w:p>
      <w:pPr>
        <w:spacing w:before="0" w:after="0" w:line="408" w:lineRule="exact"/>
        <w:ind w:left="0" w:right="0" w:firstLine="576"/>
        <w:jc w:val="left"/>
      </w:pPr>
      <w:r>
        <w:rPr/>
        <w:t xml:space="preserve">(iii) Practical financial incentives and programs, including public-private partnerships to cover costs; and</w:t>
      </w:r>
    </w:p>
    <w:p>
      <w:pPr>
        <w:spacing w:before="0" w:after="0" w:line="408" w:lineRule="exact"/>
        <w:ind w:left="0" w:right="0" w:firstLine="576"/>
        <w:jc w:val="left"/>
      </w:pPr>
      <w:r>
        <w:rPr/>
        <w:t xml:space="preserve">(iv) Education and outreach.</w:t>
      </w:r>
    </w:p>
    <w:p>
      <w:pPr>
        <w:spacing w:before="0" w:after="0" w:line="408" w:lineRule="exact"/>
        <w:ind w:left="0" w:right="0" w:firstLine="576"/>
        <w:jc w:val="left"/>
      </w:pPr>
      <w:r>
        <w:rPr/>
        <w:t xml:space="preserve">(3) The work of the functional recovery task force must be prioritized as follows:</w:t>
      </w:r>
    </w:p>
    <w:p>
      <w:pPr>
        <w:spacing w:before="0" w:after="0" w:line="408" w:lineRule="exact"/>
        <w:ind w:left="0" w:right="0" w:firstLine="576"/>
        <w:jc w:val="left"/>
      </w:pPr>
      <w:r>
        <w:rPr/>
        <w:t xml:space="preserve">(a) Determination of criteria and implementation measures for the adoption of a functional recovery standard for all new emergency services buildings and state-owned buildings;</w:t>
      </w:r>
    </w:p>
    <w:p>
      <w:pPr>
        <w:spacing w:before="0" w:after="0" w:line="408" w:lineRule="exact"/>
        <w:ind w:left="0" w:right="0" w:firstLine="576"/>
        <w:jc w:val="left"/>
      </w:pPr>
      <w:r>
        <w:rPr/>
        <w:t xml:space="preserve">(b) Identification of practical means for the seismic retrofitting of all existing emergency services buildings and state-owned buildings; and</w:t>
      </w:r>
    </w:p>
    <w:p>
      <w:pPr>
        <w:spacing w:before="0" w:after="0" w:line="408" w:lineRule="exact"/>
        <w:ind w:left="0" w:right="0" w:firstLine="576"/>
        <w:jc w:val="left"/>
      </w:pPr>
      <w:r>
        <w:rPr/>
        <w:t xml:space="preserve">(c) Defining and establishing criteria and implementation measures for an immediate occupancy standard as considered in the national institute of standards and technology special publication 1224: Research Needs to Support Immediate Occupancy Building Performance Objective Following Natural Hazard Events.</w:t>
      </w:r>
    </w:p>
    <w:p>
      <w:pPr>
        <w:spacing w:before="0" w:after="0" w:line="408" w:lineRule="exact"/>
        <w:ind w:left="0" w:right="0" w:firstLine="576"/>
        <w:jc w:val="left"/>
      </w:pPr>
      <w:r>
        <w:rPr/>
        <w:t xml:space="preserve">(4) In order to determine criteria for a functional recovery standard, the task force may examine:</w:t>
      </w:r>
    </w:p>
    <w:p>
      <w:pPr>
        <w:spacing w:before="0" w:after="0" w:line="408" w:lineRule="exact"/>
        <w:ind w:left="0" w:right="0" w:firstLine="576"/>
        <w:jc w:val="left"/>
      </w:pPr>
      <w:r>
        <w:rPr/>
        <w:t xml:space="preserve">(a) The national institute of standards and technology report referenced in subsection (3)(c) of this section;</w:t>
      </w:r>
    </w:p>
    <w:p>
      <w:pPr>
        <w:spacing w:before="0" w:after="0" w:line="408" w:lineRule="exact"/>
        <w:ind w:left="0" w:right="0" w:firstLine="576"/>
        <w:jc w:val="left"/>
      </w:pPr>
      <w:r>
        <w:rPr/>
        <w:t xml:space="preserve">(b) California Administrative Code, part 1, chapter 4, administrative regulations for the division of the state architect, structural safety; and</w:t>
      </w:r>
    </w:p>
    <w:p>
      <w:pPr>
        <w:spacing w:before="0" w:after="0" w:line="408" w:lineRule="exact"/>
        <w:ind w:left="0" w:right="0" w:firstLine="576"/>
        <w:jc w:val="left"/>
      </w:pPr>
      <w:r>
        <w:rPr/>
        <w:t xml:space="preserve">(c) Any other relevant reports, industry and government standards, best practices, or academic research.</w:t>
      </w:r>
    </w:p>
    <w:p>
      <w:pPr>
        <w:spacing w:before="0" w:after="0" w:line="408" w:lineRule="exact"/>
        <w:ind w:left="0" w:right="0" w:firstLine="576"/>
        <w:jc w:val="left"/>
      </w:pPr>
      <w:r>
        <w:rPr/>
        <w:t xml:space="preserve">(5) The functional recovery task force must consist of:</w:t>
      </w:r>
    </w:p>
    <w:p>
      <w:pPr>
        <w:spacing w:before="0" w:after="0" w:line="408" w:lineRule="exact"/>
        <w:ind w:left="0" w:right="0" w:firstLine="576"/>
        <w:jc w:val="left"/>
      </w:pPr>
      <w:r>
        <w:rPr/>
        <w:t xml:space="preserve">(a) Two members from the house of representatives, with one member appointed from each of the two major caucuses of the house of representatives by the speaker of the house of representatives;</w:t>
      </w:r>
    </w:p>
    <w:p>
      <w:pPr>
        <w:spacing w:before="0" w:after="0" w:line="408" w:lineRule="exact"/>
        <w:ind w:left="0" w:right="0" w:firstLine="576"/>
        <w:jc w:val="left"/>
      </w:pPr>
      <w:r>
        <w:rPr/>
        <w:t xml:space="preserve">(b) Two members from the senate, with one member appointed from each of the two major caucuses of the senate by the president of the senate; and</w:t>
      </w:r>
    </w:p>
    <w:p>
      <w:pPr>
        <w:spacing w:before="0" w:after="0" w:line="408" w:lineRule="exact"/>
        <w:ind w:left="0" w:right="0" w:firstLine="576"/>
        <w:jc w:val="left"/>
      </w:pPr>
      <w:r>
        <w:rPr/>
        <w:t xml:space="preserve">(c) Appropriate representatives from public and private sector entities including, but not limited to:</w:t>
      </w:r>
    </w:p>
    <w:p>
      <w:pPr>
        <w:spacing w:before="0" w:after="0" w:line="408" w:lineRule="exact"/>
        <w:ind w:left="0" w:right="0" w:firstLine="576"/>
        <w:jc w:val="left"/>
      </w:pPr>
      <w:r>
        <w:rPr/>
        <w:t xml:space="preserve">(i) The state building code council;</w:t>
      </w:r>
    </w:p>
    <w:p>
      <w:pPr>
        <w:spacing w:before="0" w:after="0" w:line="408" w:lineRule="exact"/>
        <w:ind w:left="0" w:right="0" w:firstLine="576"/>
        <w:jc w:val="left"/>
      </w:pPr>
      <w:r>
        <w:rPr/>
        <w:t xml:space="preserve">(ii) The state military department;</w:t>
      </w:r>
    </w:p>
    <w:p>
      <w:pPr>
        <w:spacing w:before="0" w:after="0" w:line="408" w:lineRule="exact"/>
        <w:ind w:left="0" w:right="0" w:firstLine="576"/>
        <w:jc w:val="left"/>
      </w:pPr>
      <w:r>
        <w:rPr/>
        <w:t xml:space="preserve">(iii) The office of the insurance commissioner;</w:t>
      </w:r>
    </w:p>
    <w:p>
      <w:pPr>
        <w:spacing w:before="0" w:after="0" w:line="408" w:lineRule="exact"/>
        <w:ind w:left="0" w:right="0" w:firstLine="576"/>
        <w:jc w:val="left"/>
      </w:pPr>
      <w:r>
        <w:rPr/>
        <w:t xml:space="preserve">(iv) The department of enterprise services;</w:t>
      </w:r>
    </w:p>
    <w:p>
      <w:pPr>
        <w:spacing w:before="0" w:after="0" w:line="408" w:lineRule="exact"/>
        <w:ind w:left="0" w:right="0" w:firstLine="576"/>
        <w:jc w:val="left"/>
      </w:pPr>
      <w:r>
        <w:rPr/>
        <w:t xml:space="preserve">(v) The department of natural resources;</w:t>
      </w:r>
    </w:p>
    <w:p>
      <w:pPr>
        <w:spacing w:before="0" w:after="0" w:line="408" w:lineRule="exact"/>
        <w:ind w:left="0" w:right="0" w:firstLine="576"/>
        <w:jc w:val="left"/>
      </w:pPr>
      <w:r>
        <w:rPr/>
        <w:t xml:space="preserve">(vi) The department of ecology;</w:t>
      </w:r>
    </w:p>
    <w:p>
      <w:pPr>
        <w:spacing w:before="0" w:after="0" w:line="408" w:lineRule="exact"/>
        <w:ind w:left="0" w:right="0" w:firstLine="576"/>
        <w:jc w:val="left"/>
      </w:pPr>
      <w:r>
        <w:rPr/>
        <w:t xml:space="preserve">(vii) Local governments;</w:t>
      </w:r>
    </w:p>
    <w:p>
      <w:pPr>
        <w:spacing w:before="0" w:after="0" w:line="408" w:lineRule="exact"/>
        <w:ind w:left="0" w:right="0" w:firstLine="576"/>
        <w:jc w:val="left"/>
      </w:pPr>
      <w:r>
        <w:rPr/>
        <w:t xml:space="preserve">(viii) The department of commerce;</w:t>
      </w:r>
    </w:p>
    <w:p>
      <w:pPr>
        <w:spacing w:before="0" w:after="0" w:line="408" w:lineRule="exact"/>
        <w:ind w:left="0" w:right="0" w:firstLine="576"/>
        <w:jc w:val="left"/>
      </w:pPr>
      <w:r>
        <w:rPr/>
        <w:t xml:space="preserve">(ix) The state board for architects;</w:t>
      </w:r>
    </w:p>
    <w:p>
      <w:pPr>
        <w:spacing w:before="0" w:after="0" w:line="408" w:lineRule="exact"/>
        <w:ind w:left="0" w:right="0" w:firstLine="576"/>
        <w:jc w:val="left"/>
      </w:pPr>
      <w:r>
        <w:rPr/>
        <w:t xml:space="preserve">(x) Building officials;</w:t>
      </w:r>
    </w:p>
    <w:p>
      <w:pPr>
        <w:spacing w:before="0" w:after="0" w:line="408" w:lineRule="exact"/>
        <w:ind w:left="0" w:right="0" w:firstLine="576"/>
        <w:jc w:val="left"/>
      </w:pPr>
      <w:r>
        <w:rPr/>
        <w:t xml:space="preserve">(xi) The state fire marshal;</w:t>
      </w:r>
    </w:p>
    <w:p>
      <w:pPr>
        <w:spacing w:before="0" w:after="0" w:line="408" w:lineRule="exact"/>
        <w:ind w:left="0" w:right="0" w:firstLine="576"/>
        <w:jc w:val="left"/>
      </w:pPr>
      <w:r>
        <w:rPr/>
        <w:t xml:space="preserve">(xii) Structural and civil engineers;</w:t>
      </w:r>
    </w:p>
    <w:p>
      <w:pPr>
        <w:spacing w:before="0" w:after="0" w:line="408" w:lineRule="exact"/>
        <w:ind w:left="0" w:right="0" w:firstLine="576"/>
        <w:jc w:val="left"/>
      </w:pPr>
      <w:r>
        <w:rPr/>
        <w:t xml:space="preserve">(xiii) The insurance industry;</w:t>
      </w:r>
    </w:p>
    <w:p>
      <w:pPr>
        <w:spacing w:before="0" w:after="0" w:line="408" w:lineRule="exact"/>
        <w:ind w:left="0" w:right="0" w:firstLine="576"/>
        <w:jc w:val="left"/>
      </w:pPr>
      <w:r>
        <w:rPr/>
        <w:t xml:space="preserve">(xiv) The construction industry;</w:t>
      </w:r>
    </w:p>
    <w:p>
      <w:pPr>
        <w:spacing w:before="0" w:after="0" w:line="408" w:lineRule="exact"/>
        <w:ind w:left="0" w:right="0" w:firstLine="576"/>
        <w:jc w:val="left"/>
      </w:pPr>
      <w:r>
        <w:rPr/>
        <w:t xml:space="preserve">(xv) The Washington geological survey;</w:t>
      </w:r>
    </w:p>
    <w:p>
      <w:pPr>
        <w:spacing w:before="0" w:after="0" w:line="408" w:lineRule="exact"/>
        <w:ind w:left="0" w:right="0" w:firstLine="576"/>
        <w:jc w:val="left"/>
      </w:pPr>
      <w:r>
        <w:rPr/>
        <w:t xml:space="preserve">(xvi) The international code council; and</w:t>
      </w:r>
    </w:p>
    <w:p>
      <w:pPr>
        <w:spacing w:before="0" w:after="0" w:line="408" w:lineRule="exact"/>
        <w:ind w:left="0" w:right="0" w:firstLine="576"/>
        <w:jc w:val="left"/>
      </w:pPr>
      <w:r>
        <w:rPr/>
        <w:t xml:space="preserve">(xvii) First responders.</w:t>
      </w:r>
    </w:p>
    <w:p>
      <w:pPr>
        <w:spacing w:before="0" w:after="0" w:line="408" w:lineRule="exact"/>
        <w:ind w:left="0" w:right="0" w:firstLine="576"/>
        <w:jc w:val="left"/>
      </w:pPr>
      <w:r>
        <w:rPr/>
        <w:t xml:space="preserve">(6) Staff support for the functional recovery task force must be provided by the senate committee services and the house of representatives office of program research.</w:t>
      </w:r>
    </w:p>
    <w:p>
      <w:pPr>
        <w:spacing w:before="0" w:after="0" w:line="408" w:lineRule="exact"/>
        <w:ind w:left="0" w:right="0" w:firstLine="576"/>
        <w:jc w:val="left"/>
      </w:pPr>
      <w:r>
        <w:rPr/>
        <w:t xml:space="preserve">(7) Legislative members of the functional recovery task force are reimbursed for travel expenses in accordance with RCW 44.04.120. Nonlegislative members are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functional recovery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(9) The functional recovery task force must provide periodic progress reports after the completion of each priority listed in this section to the governor and the appropriate committees of the legislature. The progress reports must include findings, successes, challenges, and any recommendations to the legislature to assist the task force in its work.</w:t>
      </w:r>
    </w:p>
    <w:p>
      <w:pPr>
        <w:spacing w:before="0" w:after="0" w:line="408" w:lineRule="exact"/>
        <w:ind w:left="0" w:right="0" w:firstLine="576"/>
        <w:jc w:val="left"/>
      </w:pPr>
      <w:r>
        <w:rPr/>
        <w:t xml:space="preserve">(10) By December 1, 2021, and in compliance with RCW 43.01.036, the functional recovery task force must report its final set of findings and recommendations to the governor and the appropriate committees of the legislature.</w:t>
      </w:r>
    </w:p>
    <w:p>
      <w:pPr>
        <w:spacing w:before="0" w:after="0" w:line="408" w:lineRule="exact"/>
        <w:ind w:left="0" w:right="0" w:firstLine="576"/>
        <w:jc w:val="left"/>
      </w:pPr>
      <w:r>
        <w:rPr/>
        <w:t xml:space="preserve">(11) This section expires December 31, 2021.</w:t>
      </w:r>
    </w:p>
    <w:p/>
    <w:p>
      <w:pPr>
        <w:jc w:val="center"/>
      </w:pPr>
      <w:r>
        <w:rPr>
          <w:b/>
        </w:rPr>
        <w:t>--- END ---</w:t>
      </w:r>
    </w:p>
    <w:sectPr>
      <w:pgNumType w:start="1"/>
      <w:footerReference xmlns:r="http://schemas.openxmlformats.org/officeDocument/2006/relationships" r:id="R06844eff99af4d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d28eabb3446bf" /><Relationship Type="http://schemas.openxmlformats.org/officeDocument/2006/relationships/footer" Target="/word/footer1.xml" Id="R06844eff99af4ddc" /></Relationships>
</file>