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61c60b7ea4333" /></Relationships>
</file>

<file path=word/document.xml><?xml version="1.0" encoding="utf-8"?>
<w:document xmlns:w="http://schemas.openxmlformats.org/wordprocessingml/2006/main">
  <w:body>
    <w:p>
      <w:r>
        <w:t>S-1207.2</w:t>
      </w:r>
    </w:p>
    <w:p>
      <w:pPr>
        <w:jc w:val="center"/>
      </w:pPr>
      <w:r>
        <w:t>_______________________________________________</w:t>
      </w:r>
    </w:p>
    <w:p/>
    <w:p>
      <w:pPr>
        <w:jc w:val="center"/>
      </w:pPr>
      <w:r>
        <w:rPr>
          <w:b/>
        </w:rPr>
        <w:t>SUBSTITUTE SENATE BILL 5259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Zeiger, Warnick, Van De Wege, Fortunato, and Takko)</w:t>
      </w:r>
    </w:p>
    <w:p/>
    <w:p>
      <w:r>
        <w:rPr>
          <w:t xml:space="preserve">READ FIRST TIME 02/01/19.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success of agriculture on agricultural land; and amending RCW 36.70A.020, 36.70A.177, 36.70A.190,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 </w:t>
      </w:r>
      <w:r>
        <w:rPr>
          <w:u w:val="single"/>
        </w:rPr>
        <w:t xml:space="preserve">Encouraging the conservation of productive agricultural lands requires local governments to have a regulatory strategy that allows agricultural landowners to successfully engage in agriculture.</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w:t>
      </w:r>
      <w:r>
        <w:rPr>
          <w:u w:val="single"/>
        </w:rPr>
        <w:t xml:space="preserve">and other measures described in this section</w:t>
      </w:r>
      <w:r>
        <w:rPr/>
        <w:t xml:space="preserve"> in areas designated as agricultural lands of long-term commercial significance </w:t>
      </w:r>
      <w:r>
        <w:t>((</w:t>
      </w:r>
      <w:r>
        <w:rPr>
          <w:strike/>
        </w:rPr>
        <w:t xml:space="preserve">under RCW 36.70A.170</w:t>
      </w:r>
      <w:r>
        <w:t>))</w:t>
      </w:r>
      <w:r>
        <w:rPr/>
        <w:t xml:space="preserve">. </w:t>
      </w:r>
      <w:r>
        <w:rPr>
          <w:u w:val="single"/>
        </w:rPr>
        <w:t xml:space="preserve">This section applies to lands that are within an urban growth area and lands that are not within an urban growth area.</w:t>
      </w:r>
      <w:r>
        <w:rPr/>
        <w:t xml:space="preserve"> The innovative zoning techniques </w:t>
      </w:r>
      <w:r>
        <w:t>((</w:t>
      </w:r>
      <w:r>
        <w:rPr>
          <w:strike/>
        </w:rPr>
        <w:t xml:space="preserve">should</w:t>
      </w:r>
      <w:r>
        <w:t>))</w:t>
      </w:r>
      <w:r>
        <w:rPr/>
        <w:t xml:space="preserve"> </w:t>
      </w:r>
      <w:r>
        <w:rPr>
          <w:u w:val="single"/>
        </w:rPr>
        <w:t xml:space="preserve">and other measures must</w:t>
      </w:r>
      <w:r>
        <w:rPr/>
        <w:t xml:space="preserve">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w:t>
      </w:r>
      <w:r>
        <w:t>((</w:t>
      </w:r>
      <w:r>
        <w:rPr>
          <w:strike/>
        </w:rPr>
        <w:t xml:space="preserve">be located outside the general area already developed for buildings and residential uses and shall not</w:t>
      </w:r>
      <w:r>
        <w:t>))</w:t>
      </w:r>
      <w:r>
        <w:rPr/>
        <w:t xml:space="preserve"> otherwise convert more than one acre of agricultural land to nonagricultural uses;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w:t>
      </w:r>
      <w:r>
        <w:rPr>
          <w:u w:val="single"/>
        </w:rPr>
        <w:t xml:space="preserve">Other measures that a county or city may use with regard to agricultural lands include, but are not limited to:</w:t>
      </w:r>
    </w:p>
    <w:p>
      <w:pPr>
        <w:spacing w:before="0" w:after="0" w:line="408" w:lineRule="exact"/>
        <w:ind w:left="0" w:right="0" w:firstLine="576"/>
        <w:jc w:val="left"/>
      </w:pPr>
      <w:r>
        <w:rPr>
          <w:u w:val="single"/>
        </w:rPr>
        <w:t xml:space="preserve">(a) Consolidating multiple permit requirements to create a more efficient permitting system;</w:t>
      </w:r>
    </w:p>
    <w:p>
      <w:pPr>
        <w:spacing w:before="0" w:after="0" w:line="408" w:lineRule="exact"/>
        <w:ind w:left="0" w:right="0" w:firstLine="576"/>
        <w:jc w:val="left"/>
      </w:pPr>
      <w:r>
        <w:rPr>
          <w:u w:val="single"/>
        </w:rPr>
        <w:t xml:space="preserve">(b) Reducing the amount of time required for permit review;</w:t>
      </w:r>
    </w:p>
    <w:p>
      <w:pPr>
        <w:spacing w:before="0" w:after="0" w:line="408" w:lineRule="exact"/>
        <w:ind w:left="0" w:right="0" w:firstLine="576"/>
        <w:jc w:val="left"/>
      </w:pPr>
      <w:r>
        <w:rPr>
          <w:u w:val="single"/>
        </w:rPr>
        <w:t xml:space="preserve">(c) Expanding opportunities for county or city employees to provide technical assistance to landowners who request assistance; and</w:t>
      </w:r>
    </w:p>
    <w:p>
      <w:pPr>
        <w:spacing w:before="0" w:after="0" w:line="408" w:lineRule="exact"/>
        <w:ind w:left="0" w:right="0" w:firstLine="576"/>
        <w:jc w:val="left"/>
      </w:pPr>
      <w:r>
        <w:rPr>
          <w:u w:val="single"/>
        </w:rPr>
        <w:t xml:space="preserve">(d) Increasing coordination among counties or cities and other agencies to avoid duplication of work during permit review.</w:t>
      </w:r>
    </w:p>
    <w:p>
      <w:pPr>
        <w:spacing w:before="0" w:after="0" w:line="408" w:lineRule="exact"/>
        <w:ind w:left="0" w:right="0" w:firstLine="576"/>
        <w:jc w:val="left"/>
      </w:pPr>
      <w:r>
        <w:rPr>
          <w:u w:val="single"/>
        </w:rPr>
        <w:t xml:space="preserve">(5)</w:t>
      </w:r>
      <w:r>
        <w:rPr/>
        <w:t xml:space="preserve"> This section shall not be interpreted to limit agricultural production on designated agricultural lands. </w:t>
      </w:r>
      <w:r>
        <w:rPr>
          <w:u w:val="single"/>
        </w:rPr>
        <w:t xml:space="preserve">Furthermore, this section must be applied in a manner that allows agricultural landowners to successfully engage in agriculture.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w:t>
      </w:r>
      <w:r>
        <w:t>((</w:t>
      </w:r>
      <w:r>
        <w:rPr>
          <w:strike/>
        </w:rPr>
        <w:t xml:space="preserve">shall</w:t>
      </w:r>
      <w:r>
        <w:t>))</w:t>
      </w:r>
      <w:r>
        <w:rPr/>
        <w:t xml:space="preserve"> </w:t>
      </w:r>
      <w:r>
        <w:rPr>
          <w:u w:val="single"/>
        </w:rPr>
        <w:t xml:space="preserve">must</w:t>
      </w:r>
      <w:r>
        <w:rPr/>
        <w:t xml:space="preserve">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may provide financial assistance and incentives to counties and cities to promote innovative zoning techniques and other measures under RCW 36.70A.177.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w:t>
      </w:r>
      <w:r>
        <w:rPr>
          <w:u w:val="single"/>
        </w:rPr>
        <w:t xml:space="preserve">by July 1, 2020</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eighteen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 A county that has made the election under subsection (1) of this section is not required to implement the program in a participating watershed until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w:t>
      </w:r>
      <w:r>
        <w:t>))</w:t>
      </w:r>
      <w:r>
        <w:rPr/>
        <w:t xml:space="preserve"> </w:t>
      </w:r>
      <w:r>
        <w:rPr>
          <w:u w:val="single"/>
        </w:rPr>
        <w:t xml:space="preserve">T</w:t>
      </w:r>
      <w:r>
        <w:rPr/>
        <w:t xml:space="preserve">he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2021</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747601f01eb040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3d80de6b44653" /><Relationship Type="http://schemas.openxmlformats.org/officeDocument/2006/relationships/footer" Target="/word/footer1.xml" Id="R747601f01eb04085" /></Relationships>
</file>