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377d1bfd04d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Ericksen, Takko, and Wellman)</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 ground whole plant samples or other approved testing method.</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16 of this act), a licensed hemp producer under this chapter may immediately produce hemp pursuant to chapter 15.--- RCW (the new chapter created in section 16 of this act) with all the privileges of a hemp producer licensed under chapter 15.---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16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15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30812eca7d4e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615ab9adf431f" /><Relationship Type="http://schemas.openxmlformats.org/officeDocument/2006/relationships/footer" Target="/word/footer1.xml" Id="R6930812eca7d4eeb" /></Relationships>
</file>