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f8085e20544b0" /></Relationships>
</file>

<file path=word/document.xml><?xml version="1.0" encoding="utf-8"?>
<w:document xmlns:w="http://schemas.openxmlformats.org/wordprocessingml/2006/main">
  <w:body>
    <w:p>
      <w:r>
        <w:t>S-1449.3</w:t>
      </w:r>
    </w:p>
    <w:p>
      <w:pPr>
        <w:jc w:val="center"/>
      </w:pPr>
      <w:r>
        <w:t>_______________________________________________</w:t>
      </w:r>
    </w:p>
    <w:p/>
    <w:p>
      <w:pPr>
        <w:jc w:val="center"/>
      </w:pPr>
      <w:r>
        <w:rPr>
          <w:b/>
        </w:rPr>
        <w:t>SUBSTITUTE SENATE BILL 5279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Van De Wege, Warnick, and Short)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outdoor burning for the protection of life or property and for public health, safety, and welfare; and amending RCW 70.94.6514, 70.94.6524, 70.94.6534, 70.94.6536, and 70.94.6538.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Outdoor burning that is normal, necessary, and customary to ongoing silvicultural activities consistent with silvicultural burning authorized under RCW 70.94.6534(1), is allowed within the urban growth area in accordance with RCW 70.94.6534. Before issuing a burn permit within the urban growth area for any silvicultural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w:t>
      </w:r>
      <w:r>
        <w:rPr>
          <w:u w:val="single"/>
        </w:rPr>
        <w:t xml:space="preserve">county fire marshals in consultation with</w:t>
      </w:r>
      <w:r>
        <w:rPr/>
        <w:t xml:space="preserv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w:t>
      </w:r>
      <w:r>
        <w:t>((</w:t>
      </w:r>
      <w:r>
        <w:rPr>
          <w:strike/>
        </w:rPr>
        <w:t xml:space="preserve">shall have the responsibility</w:t>
      </w:r>
      <w:r>
        <w:t>))</w:t>
      </w:r>
      <w:r>
        <w:rPr/>
        <w:t xml:space="preserve"> </w:t>
      </w:r>
      <w:r>
        <w:rPr>
          <w:u w:val="single"/>
        </w:rPr>
        <w:t xml:space="preserve">is responsible</w:t>
      </w:r>
      <w:r>
        <w:rPr/>
        <w:t xml:space="preserve"> for issuing and regulating burning permits required by it relating to the following activities for the protection of life or property </w:t>
      </w:r>
      <w:r>
        <w:t>((</w:t>
      </w:r>
      <w:r>
        <w:rPr>
          <w:strike/>
        </w:rPr>
        <w:t xml:space="preserve">and/or</w:t>
      </w:r>
      <w:r>
        <w:t>))</w:t>
      </w:r>
      <w:r>
        <w:rPr/>
        <w:t xml:space="preserve"> </w:t>
      </w:r>
      <w:r>
        <w:rPr>
          <w:u w:val="single"/>
        </w:rPr>
        <w:t xml:space="preserve">and</w:t>
      </w:r>
      <w:r>
        <w:rPr/>
        <w:t xml:space="preserve"> for the public health, safety, and welfare:</w:t>
      </w:r>
    </w:p>
    <w:p>
      <w:pPr>
        <w:spacing w:before="0" w:after="0" w:line="408" w:lineRule="exact"/>
        <w:ind w:left="0" w:right="0" w:firstLine="576"/>
        <w:jc w:val="left"/>
      </w:pPr>
      <w:r>
        <w:rPr/>
        <w:t xml:space="preserve">(a) Abating a forest fire hazard;</w:t>
      </w:r>
    </w:p>
    <w:p>
      <w:pPr>
        <w:spacing w:before="0" w:after="0" w:line="408" w:lineRule="exact"/>
        <w:ind w:left="0" w:right="0" w:firstLine="576"/>
        <w:jc w:val="left"/>
      </w:pPr>
      <w:r>
        <w:rPr/>
        <w:t xml:space="preserve">(b) Prevention of a fire hazard;</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w:t>
      </w:r>
      <w:r>
        <w:rPr>
          <w:u w:val="single"/>
        </w:rPr>
        <w:t xml:space="preserve">, including but not limited to forest health and resiliency, decreasing forest insect or disease susceptibility, maintaining or restoring native vegetation, or otherwise enhancing resiliency to fire</w:t>
      </w:r>
      <w:r>
        <w:rPr/>
        <w:t xml:space="preserv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p>
    <w:p>
      <w:pPr>
        <w:spacing w:before="0" w:after="0" w:line="408" w:lineRule="exact"/>
        <w:ind w:left="0" w:right="0" w:firstLine="576"/>
        <w:jc w:val="left"/>
      </w:pPr>
      <w:r>
        <w:rPr/>
        <w:t xml:space="preserve">(3) Permit fees shall be assessed for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w:t>
      </w:r>
      <w:r>
        <w:rPr>
          <w:u w:val="single"/>
        </w:rPr>
        <w:t xml:space="preserve">,</w:t>
      </w:r>
      <w:r>
        <w:rPr/>
        <w:t xml:space="preserve">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w:t>
      </w:r>
      <w:r>
        <w:rPr>
          <w:u w:val="single"/>
        </w:rPr>
        <w:t xml:space="preserve">,</w:t>
      </w:r>
      <w:r>
        <w:rPr/>
        <w:t xml:space="preserve">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w:t>
      </w:r>
      <w:r>
        <w:t>((</w:t>
      </w:r>
      <w:r>
        <w:rPr>
          <w:strike/>
        </w:rPr>
        <w:t xml:space="preserve">and</w:t>
      </w:r>
      <w:r>
        <w:t>))</w:t>
      </w:r>
      <w:r>
        <w:rPr/>
        <w:t xml:space="preserve"> diversity of land ownership</w:t>
      </w:r>
      <w:r>
        <w:rPr>
          <w:u w:val="single"/>
        </w:rPr>
        <w:t xml:space="preserve">, improving forest health and resiliency, decreasing forest insect or disease susceptibility, maintaining or restoring native vegetation, or otherwise enhancing resiliency to fire</w:t>
      </w:r>
      <w:r>
        <w:rPr/>
        <w:t xml:space="preserve">. The plan shall establish priorities that the department of natural resources shall use to allocate allowable emissions, including but not limited to, </w:t>
      </w:r>
      <w:r>
        <w:rPr>
          <w:u w:val="single"/>
        </w:rPr>
        <w:t xml:space="preserve">forest health and resiliency,</w:t>
      </w:r>
      <w:r>
        <w:rPr/>
        <w:t xml:space="preserve">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rPr/>
        <w:t xml:space="preserve">(4)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rPr/>
        <w:t xml:space="preserve">(5) The department of ecology may conduct a limited, seasonal ambient air quality monitoring program to measure the effects of forest health burning conducted under subsection (4)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w:t>
      </w:r>
      <w:r>
        <w:rPr>
          <w:u w:val="single"/>
        </w:rPr>
        <w:t xml:space="preserve">,</w:t>
      </w:r>
      <w:r>
        <w:rPr/>
        <w:t xml:space="preserve"> in granting burning permits for fires for the purposes set forth in RCW 70.94.6534</w:t>
      </w:r>
      <w:r>
        <w:rPr>
          <w:u w:val="single"/>
        </w:rPr>
        <w:t xml:space="preserve">,</w:t>
      </w:r>
      <w:r>
        <w:rPr/>
        <w:t xml:space="preserve"> shall condition the issuance and use of such permits to comply </w:t>
      </w:r>
      <w:r>
        <w:rPr>
          <w:u w:val="single"/>
        </w:rPr>
        <w:t xml:space="preserve">to the extent feasible</w:t>
      </w:r>
      <w:r>
        <w:rPr/>
        <w:t xml:space="preserve"> with air quality standards established by the department of ecology </w:t>
      </w:r>
      <w:r>
        <w:t>((</w:t>
      </w:r>
      <w:r>
        <w:rPr>
          <w:strike/>
        </w:rPr>
        <w:t xml:space="preserve">after full consultation with the department of natural resources</w:t>
      </w:r>
      <w:r>
        <w:t>))</w:t>
      </w:r>
      <w:r>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
      <w:pPr>
        <w:jc w:val="center"/>
      </w:pPr>
      <w:r>
        <w:rPr>
          <w:b/>
        </w:rPr>
        <w:t>--- END ---</w:t>
      </w:r>
    </w:p>
    <w:sectPr>
      <w:pgNumType w:start="1"/>
      <w:footerReference xmlns:r="http://schemas.openxmlformats.org/officeDocument/2006/relationships" r:id="Rdf704fab225e4f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8783311824bcf" /><Relationship Type="http://schemas.openxmlformats.org/officeDocument/2006/relationships/footer" Target="/word/footer1.xml" Id="Rdf704fab225e4f61" /></Relationships>
</file>