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26427bde154fd9" /></Relationships>
</file>

<file path=word/document.xml><?xml version="1.0" encoding="utf-8"?>
<w:document xmlns:w="http://schemas.openxmlformats.org/wordprocessingml/2006/main">
  <w:body>
    <w:p>
      <w:r>
        <w:t>S-2484.1</w:t>
      </w:r>
    </w:p>
    <w:p>
      <w:pPr>
        <w:jc w:val="center"/>
      </w:pPr>
      <w:r>
        <w:t>_______________________________________________</w:t>
      </w:r>
    </w:p>
    <w:p/>
    <w:p>
      <w:pPr>
        <w:jc w:val="center"/>
      </w:pPr>
      <w:r>
        <w:rPr>
          <w:b/>
        </w:rPr>
        <w:t>SECOND SUBSTITUTE SENATE BILL 5293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Carlyle, Nguyen, Palumbo, Das, Billig, Kuderer, Keiser, McCoy, Hunt, Liias, Frockt, Pedersen, and Wellman; by request of Governor Inslee)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efficiency; amending RCW 19.27A.140, 19.27A.170, 19.27A.015, 19.27A.025, and 19.27.540; adding new sections to chapter 19.27A RCW; adding a new section to chapter 82.16 RCW; adding new sections to chapter 80.28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policy encouraging energy efficiency has been extremely successful in reducing energy use, avoiding costly investment in new generating capacity, lowering customer energy bills, and reducing air pollution and greenhouse gas emissions. The state's 2019 biennial energy report indicates that utility conservation investments under chapter 19.285 RCW, the energy independence act, now save consumers more than seven hundred fifty million dollars annually, helping to keep Washington's electricity prices among the lowest in the nation.</w:t>
      </w:r>
    </w:p>
    <w:p>
      <w:pPr>
        <w:spacing w:before="0" w:after="0" w:line="408" w:lineRule="exact"/>
        <w:ind w:left="0" w:right="0" w:firstLine="576"/>
        <w:jc w:val="left"/>
      </w:pPr>
      <w:r>
        <w:rPr/>
        <w:t xml:space="preserve">(2) Studies by the Northwest power and conservation council and by individual Washington utilities repeatedly show that efficiency is the region's largest, cheapest, lowest risk energy resource; that without it, the Northwest would have needed to invest in additional natural gas-fired generation; and that, looking ahead, efficiency can approach the size of the region's hydropower system as a regional resource. The Northwest power and conservation council forecasts that with an aggressive new energy efficiency policy, the region can potentially meet one hundred percent of its electricity load growth over the next twenty years with energy efficiency.</w:t>
      </w:r>
    </w:p>
    <w:p>
      <w:pPr>
        <w:spacing w:before="0" w:after="0" w:line="408" w:lineRule="exact"/>
        <w:ind w:left="0" w:right="0" w:firstLine="576"/>
        <w:jc w:val="left"/>
      </w:pPr>
      <w:r>
        <w:rPr/>
        <w:t xml:space="preserve">(3) Energy efficiency investments that reduce energy use in buildings bring cobenefits that directly impact Washingtonians' quality of life. These benefits include improved indoor air quality, more comfortable homes and workplaces, and lower tenant energy bills. The legislature notes that according to the United States department of energy's energy and employment report, 2017, the energy efficiency sector has created more than sixty-five thousand jobs in the state, more than two-thirds of which are in the construction sector, and that the number continues to grow.</w:t>
      </w:r>
    </w:p>
    <w:p>
      <w:pPr>
        <w:spacing w:before="0" w:after="0" w:line="408" w:lineRule="exact"/>
        <w:ind w:left="0" w:right="0" w:firstLine="576"/>
        <w:jc w:val="left"/>
      </w:pPr>
      <w:r>
        <w:rPr/>
        <w:t xml:space="preserve">(4) Considering the benefits of and the need for additional energy efficiency to meet regional energy demand, the legislature notes that attaining as much of this resource as possible from the buildings sector can have a significant effect on state greenhouse gas emissions by deferring or displacing the need for natural gas-fired electricity generation and reducing the direct use of natural gas. Buildings represent the second largest source of greenhouse gas emissions in Washington and emissions from the buildings sector have grown by fifty percent since 1990, far outpacing all other emission sources.</w:t>
      </w:r>
    </w:p>
    <w:p>
      <w:pPr>
        <w:spacing w:before="0" w:after="0" w:line="408" w:lineRule="exact"/>
        <w:ind w:left="0" w:right="0" w:firstLine="576"/>
        <w:jc w:val="left"/>
      </w:pPr>
      <w:r>
        <w:rPr/>
        <w:t xml:space="preserve">(5) The legislature therefore determines that it is in the state's interest to maximize the full potential of energy efficiency standards, retrofit incentives, utility programs, and building codes to keep energy costs low and to meet statutory goals for increased building efficiency and reduced greenhouse gas emissions.</w:t>
      </w:r>
    </w:p>
    <w:p>
      <w:pPr>
        <w:spacing w:before="0" w:after="0" w:line="408" w:lineRule="exact"/>
        <w:ind w:left="0" w:right="0" w:firstLine="576"/>
        <w:jc w:val="left"/>
      </w:pPr>
      <w:r>
        <w:rPr/>
        <w:t xml:space="preserve">(6) It is the intent of this act to provide incentives and regulations that encourage greater energy efficiency in all aspects of new and existing buildings, including building design, energy delivery, and utilization and operations. This act:</w:t>
      </w:r>
    </w:p>
    <w:p>
      <w:pPr>
        <w:spacing w:before="0" w:after="0" w:line="408" w:lineRule="exact"/>
        <w:ind w:left="0" w:right="0" w:firstLine="576"/>
        <w:jc w:val="left"/>
      </w:pPr>
      <w:r>
        <w:rPr/>
        <w:t xml:space="preserve">(a) Establishes energy performance standards for larger existing commercial buildings;</w:t>
      </w:r>
    </w:p>
    <w:p>
      <w:pPr>
        <w:spacing w:before="0" w:after="0" w:line="408" w:lineRule="exact"/>
        <w:ind w:left="0" w:right="0" w:firstLine="576"/>
        <w:jc w:val="left"/>
      </w:pPr>
      <w:r>
        <w:rPr/>
        <w:t xml:space="preserve">(b) Provides financial incentives and technical assistance for building owners taking early action to meet these standards before they are required to be met;</w:t>
      </w:r>
    </w:p>
    <w:p>
      <w:pPr>
        <w:spacing w:before="0" w:after="0" w:line="408" w:lineRule="exact"/>
        <w:ind w:left="0" w:right="0" w:firstLine="576"/>
        <w:jc w:val="left"/>
      </w:pPr>
      <w:r>
        <w:rPr/>
        <w:t xml:space="preserve">(c) Enhances access to commercial building energy consumption data in order to assist with monitoring progress toward meeting energy performance standards;</w:t>
      </w:r>
    </w:p>
    <w:p>
      <w:pPr>
        <w:spacing w:before="0" w:after="0" w:line="408" w:lineRule="exact"/>
        <w:ind w:left="0" w:right="0" w:firstLine="576"/>
        <w:jc w:val="left"/>
      </w:pPr>
      <w:r>
        <w:rPr/>
        <w:t xml:space="preserve">(d) Authorizes local governments to voluntarily adopt energy codes for residential structures that achieve even greater energy savings and greenhouse gas reductions than the minimum state energy code; and</w:t>
      </w:r>
    </w:p>
    <w:p>
      <w:pPr>
        <w:spacing w:before="0" w:after="0" w:line="408" w:lineRule="exact"/>
        <w:ind w:left="0" w:right="0" w:firstLine="576"/>
        <w:jc w:val="left"/>
      </w:pPr>
      <w:r>
        <w:rPr/>
        <w:t xml:space="preserve">(e) Establishes efficiency performance requirements for natural gas distribution companies, recognizing the significant contribution of natural gas to the state's greenhouse gas emissions, the role that natural gas plays in heating buildings and powering equipment within buildings across the state, and the greenhouse gas reduction benefits associated with substituting renewable natural gas for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the previous calendar year to making an application for an incentive under section 4 of this act.</w:t>
      </w:r>
    </w:p>
    <w:p>
      <w:pPr>
        <w:spacing w:before="0" w:after="0" w:line="408" w:lineRule="exact"/>
        <w:ind w:left="0" w:right="0" w:firstLine="576"/>
        <w:jc w:val="left"/>
      </w:pPr>
      <w:r>
        <w:rPr/>
        <w:t xml:space="preserve">(3) "Building owner" means an individual or entity possessing title to a building.</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commercial building" means a building where the sum of nonresidential, hotel, motel, and dormitory floor areas exceeds fifty thousand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commercial building required to comply with the standard established in section 3 of this act; or (b) the owner of a multifamily residential building where the floor area exceeds fifty thousand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commercial building that has been established for the purposes of complying with the standard established under section 3 of this act.</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company owned by investors, that meets one of the definitions of RCW 80.04.010, and that is engaged in distributing electricity to more than one retail electric customer in the state.</w:t>
      </w:r>
    </w:p>
    <w:p>
      <w:pPr>
        <w:spacing w:before="0" w:after="0" w:line="408" w:lineRule="exact"/>
        <w:ind w:left="0" w:right="0" w:firstLine="576"/>
        <w:jc w:val="left"/>
      </w:pPr>
      <w:r>
        <w:rPr/>
        <w:t xml:space="preserve">(19)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w:t>
      </w:r>
    </w:p>
    <w:p>
      <w:pPr>
        <w:spacing w:before="0" w:after="0" w:line="408" w:lineRule="exact"/>
        <w:ind w:left="0" w:right="0" w:firstLine="576"/>
        <w:jc w:val="left"/>
      </w:pPr>
      <w:r>
        <w:rPr/>
        <w:t xml:space="preserve">(21)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(22) "Savings-to-investment ratio" means the ratio of the present value savings to the present value costs of an energy or water conservation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commercial buildings established under section 3 of this act.</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The department must also develop energy use intensity targets for additional property types eligible for incentives in section 4 of this act.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criteria must require that a building owner adopts all energy efficiency measures required to meet the energy use intensity target, or based on a thirty year life-cycle cost analysis, the building owner must adopt an optimized bundle of energy efficiency measures that provides maximum energy savings without resulting in a savings-to-investment ratio of less than 1.0, except as exempted in (d)(ii) of this subsection. The building owner's cost for implementing energy efficiency measures must be net cost, excluding the cost covered by utility or government grants;</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(a) Failure to submit a compliance report in the form and manner prescribed by the department;</w:t>
      </w:r>
    </w:p>
    <w:p>
      <w:pPr>
        <w:spacing w:before="0" w:after="0" w:line="408" w:lineRule="exact"/>
        <w:ind w:left="0" w:right="0" w:firstLine="576"/>
        <w:jc w:val="left"/>
      </w:pPr>
      <w:r>
        <w:rPr/>
        <w:t xml:space="preserve">(b) Failure to meet an energy use intensity target or failure to receive conditional compliance approval;</w:t>
      </w:r>
    </w:p>
    <w:p>
      <w:pPr>
        <w:spacing w:before="0" w:after="0" w:line="408" w:lineRule="exact"/>
        <w:ind w:left="0" w:right="0" w:firstLine="576"/>
        <w:jc w:val="left"/>
      </w:pPr>
      <w:r>
        <w:rPr/>
        <w:t xml:space="preserve">(c) Failure to provide accurate reporting consistent with the requirements of the standard established under this section; and</w:t>
      </w:r>
    </w:p>
    <w:p>
      <w:pPr>
        <w:spacing w:before="0" w:after="0" w:line="408" w:lineRule="exact"/>
        <w:ind w:left="0" w:right="0" w:firstLine="576"/>
        <w:jc w:val="left"/>
      </w:pPr>
      <w:r>
        <w:rPr/>
        <w:t xml:space="preserve">(d) Failure to provide a valid exemption certificate.</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The department must report to the appropriate committees of the legislature on the implementation of the energy efficiency measures established under this section, by January 15, 2021, and annually thereafter until 2028. The report must include information regarding the adoption of the ANSI/ASHRAE/IES standard, the level of incentives provided under section 4 of this act, as well as any other significant issues associated with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section 3 of this act.</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section 6 of this act, to make an incentive payment to the building owner. When a building is served by more than one entity offering incentives or more than one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section 3 of this act;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or multifamily residential building is participating in the incentive program by administering incentive payments as provided in section 6 of this act;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section 5 of this act. If the department certifies an application, it must provide verification to the building owner and each entity participating as provided in section 6 of this act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section 3 of this act may receive an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department may not issue a certification for an incentive application under section 4 of this act if doing so is likely to result in total incentive payments under section 4 of this act in excess of seventy-five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Each qualifying utility must administer incentive payments for the state energy performance standard early adoption incentive program established in section 4 of this act on behalf of its customers who are eligible building owners of covered commercial buildings and multifamily residential buildings who qualify as provided under this section, consistent with the requirements of this section. Any thermal energy company, electric utility, or gas company not otherwise required to administer incentive payments may voluntarily participate by providing notice to the department in a form and manner prescribed by the department.</w:t>
      </w:r>
    </w:p>
    <w:p>
      <w:pPr>
        <w:spacing w:before="0" w:after="0" w:line="408" w:lineRule="exact"/>
        <w:ind w:left="0" w:right="0" w:firstLine="576"/>
        <w:jc w:val="left"/>
      </w:pPr>
      <w:r>
        <w:rPr/>
        <w:t xml:space="preserve">(b) Nothing in this subsection (1) requires a qualifying utility to administer incentive payments for the state energy performance standard early adoption incentive program established in section 4 of this act for which the qualifying utility is not allowed a credit against taxes due under this chapter.</w:t>
      </w:r>
    </w:p>
    <w:p>
      <w:pPr>
        <w:spacing w:before="0" w:after="0" w:line="408" w:lineRule="exact"/>
        <w:ind w:left="0" w:right="0" w:firstLine="576"/>
        <w:jc w:val="left"/>
      </w:pPr>
      <w:r>
        <w:rPr/>
        <w:t xml:space="preserve">(2) An entity that administers the payments for the incentive program under this section must administer the program in a manner that is consistent with the standard established and any rules adopted by the department under sections 3 and 4 of this act.</w:t>
      </w:r>
    </w:p>
    <w:p>
      <w:pPr>
        <w:spacing w:before="0" w:after="0" w:line="408" w:lineRule="exact"/>
        <w:ind w:left="0" w:right="0" w:firstLine="576"/>
        <w:jc w:val="left"/>
      </w:pPr>
      <w:r>
        <w:rPr/>
        <w:t xml:space="preserve">(3) Upon receiving notification from the department that a building owner has qualified for an incentive payment, each entity that administers incentive payments under this section must make incentive payments to its customers who are eligible building owners of covered commercial buildings and multifamily residential buildings who qualify as provided under this section and at rates specified in section 4(6) of this act. When a building is served by more than one entity administering incentive payments, incentive payments must be proportional to the energy use intensity reduction of the participating entities' fuel.</w:t>
      </w:r>
    </w:p>
    <w:p>
      <w:pPr>
        <w:spacing w:before="0" w:after="0" w:line="408" w:lineRule="exact"/>
        <w:ind w:left="0" w:right="0" w:firstLine="576"/>
        <w:jc w:val="left"/>
      </w:pPr>
      <w:r>
        <w:rPr/>
        <w:t xml:space="preserve">(4) The participation by an entity in the administration of incentive payments under this section does not relieve the entity of any obligation that may otherwise exist or be established to provide customer energy efficiency programs or incentives.</w:t>
      </w:r>
    </w:p>
    <w:p>
      <w:pPr>
        <w:spacing w:before="0" w:after="0" w:line="408" w:lineRule="exact"/>
        <w:ind w:left="0" w:right="0" w:firstLine="576"/>
        <w:jc w:val="left"/>
      </w:pPr>
      <w:r>
        <w:rPr/>
        <w:t xml:space="preserve">(5) An entity that administers the payments for the incentive program under this section is not liable for excess payments made in reliance on amounts reported by the department as due and payable as provided under section 4 of this act, if such amounts are later found to be abnormal or inaccurate due to no fault of the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8, chapter . . ., Laws of 2019 (section 8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implementation of building energy efficiency measures, as indicated in section 4 of this act.</w:t>
      </w:r>
    </w:p>
    <w:p>
      <w:pPr>
        <w:spacing w:before="0" w:after="0" w:line="408" w:lineRule="exact"/>
        <w:ind w:left="0" w:right="0" w:firstLine="576"/>
        <w:jc w:val="left"/>
      </w:pPr>
      <w:r>
        <w:rPr/>
        <w:t xml:space="preserve">(2) It is the legislature's specific public policy objective to increase energy efficiency and the use of renewable fuels that reduce the amount of greenhouse gas emissions in Washington. It is the legislature's intent to provide a credit against the taxes owing by utilities under chapter 82.16 RCW for the incentives provided for the implementation by eligible building owners of energy efficiency and renewable energy measures.</w:t>
      </w:r>
    </w:p>
    <w:p>
      <w:pPr>
        <w:spacing w:before="0" w:after="0" w:line="408" w:lineRule="exact"/>
        <w:ind w:left="0" w:right="0" w:firstLine="576"/>
        <w:jc w:val="left"/>
      </w:pPr>
      <w:r>
        <w:rPr/>
        <w:t xml:space="preserve">(3) The joint legislative audit and review committee is not required to perform a tax preference review under chapter 43.136 RCW for the tax preference contained in section 8, chapter . . ., Laws of 2019 (section 8 of this act), and it is the intent of the legislature to allow the tax preferences to expire upon its scheduled expiration date.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number of building owners receiving an incentive payment from qualifying utilities taking the public utility tax preference under section 8 of this act, the amount of the incentive payment, and the energy use intensity reduction of the buildings as a result of the incentive program, as reported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light and power business or a gas distribution business is allowed a credit against taxes due under this chapter in an amount equal to:</w:t>
      </w:r>
    </w:p>
    <w:p>
      <w:pPr>
        <w:spacing w:before="0" w:after="0" w:line="408" w:lineRule="exact"/>
        <w:ind w:left="0" w:right="0" w:firstLine="576"/>
        <w:jc w:val="left"/>
      </w:pPr>
      <w:r>
        <w:rPr/>
        <w:t xml:space="preserve">(a) Incentive payments made in any calendar year under section 4 of this act; and</w:t>
      </w:r>
    </w:p>
    <w:p>
      <w:pPr>
        <w:spacing w:before="0" w:after="0" w:line="408" w:lineRule="exact"/>
        <w:ind w:left="0" w:right="0" w:firstLine="576"/>
        <w:jc w:val="left"/>
      </w:pPr>
      <w:r>
        <w:rPr/>
        <w:t xml:space="preserve">(b) Documented administrative cost not to exceed eight percent of the incentive payments. </w:t>
      </w:r>
    </w:p>
    <w:p>
      <w:pPr>
        <w:spacing w:before="0" w:after="0" w:line="408" w:lineRule="exact"/>
        <w:ind w:left="0" w:right="0" w:firstLine="576"/>
        <w:jc w:val="left"/>
      </w:pPr>
      <w:r>
        <w:rPr/>
        <w:t xml:space="preserve">(2) The credit must be taken in a form and manner as required by the department.</w:t>
      </w:r>
    </w:p>
    <w:p>
      <w:pPr>
        <w:spacing w:before="0" w:after="0" w:line="408" w:lineRule="exact"/>
        <w:ind w:left="0" w:right="0" w:firstLine="576"/>
        <w:jc w:val="left"/>
      </w:pPr>
      <w:r>
        <w:rPr/>
        <w:t xml:space="preserve">(3) Credit must be claimed against taxes due under this chapter for the incentive payments made and administrative expenses incurred. Credit earned in one calendar year may not be carried backward but may be claimed against taxes due under this chapter during the same calendar year and for the following two calendar years. The credit may not exceed the tax that would otherwise be due under this chapter. Refunds may not be granted in the place of a credit.</w:t>
      </w:r>
    </w:p>
    <w:p>
      <w:pPr>
        <w:spacing w:before="0" w:after="0" w:line="408" w:lineRule="exact"/>
        <w:ind w:left="0" w:right="0" w:firstLine="576"/>
        <w:jc w:val="left"/>
      </w:pPr>
      <w:r>
        <w:rPr/>
        <w:t xml:space="preserve">(4)(a) Except as provided in (c) of this subsection, any business that has claimed credit in excess of the amount of credit the business earned under subsection (1) of this section must repay the amount of tax against which the excess credit was claimed.</w:t>
      </w:r>
    </w:p>
    <w:p>
      <w:pPr>
        <w:spacing w:before="0" w:after="0" w:line="408" w:lineRule="exact"/>
        <w:ind w:left="0" w:right="0" w:firstLine="576"/>
        <w:jc w:val="left"/>
      </w:pPr>
      <w:r>
        <w:rPr/>
        <w:t xml:space="preserve">(b) The department must assess interest on the taxes due under this subsection. Interest must be assessed at the rate provided for delinquent excise taxes under chapter 82.32 RCW, retroactively to the date the credit was claimed, and accrues until the taxes against which the credit was claimed are repaid. The department must provide written notice of the amount due under this subsection and that the amount due must be paid within thirty days of the date of the notice. The department may not impose penalties as provided in chapter 82.32 RCW on taxes due under this subsection unless the amount due is not paid in full by the due date in the notice.</w:t>
      </w:r>
    </w:p>
    <w:p>
      <w:pPr>
        <w:spacing w:before="0" w:after="0" w:line="408" w:lineRule="exact"/>
        <w:ind w:left="0" w:right="0" w:firstLine="576"/>
        <w:jc w:val="left"/>
      </w:pPr>
      <w:r>
        <w:rPr/>
        <w:t xml:space="preserve">(c) A business is not liable for excess credits claimed in reliance on amounts reported to the business by the department of commerce as due and payable as provided under section 4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and the identity of a business that takes the credit is not confidential taxpayer information under RCW 82.32.330 and is subject to disclosure.</w:t>
      </w:r>
    </w:p>
    <w:p>
      <w:pPr>
        <w:spacing w:before="0" w:after="0" w:line="408" w:lineRule="exact"/>
        <w:ind w:left="0" w:right="0" w:firstLine="576"/>
        <w:jc w:val="left"/>
      </w:pPr>
      <w:r>
        <w:rPr/>
        <w:t xml:space="preserve">(6) This section expires June 30,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and 19.27A.020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or an equivalent tool adopted by the department of enterprise services.</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owner" has the same meaning as defined in section 2 of this act.</w:t>
      </w:r>
    </w:p>
    <w:p>
      <w:pPr>
        <w:spacing w:before="0" w:after="0" w:line="408" w:lineRule="exact"/>
        <w:ind w:left="0" w:right="0" w:firstLine="576"/>
        <w:jc w:val="left"/>
      </w:pPr>
      <w:r>
        <w:rPr>
          <w:u w:val="single"/>
        </w:rPr>
        <w:t xml:space="preserve">(23) "Covered commercial building" has the same meaning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On and after January 1, 2010, qualifying utilities shall maintain records of the energy consumption data of all nonresidential and qualifying public agency buildings to which they provide service. This data must be maintained for at least the most recent twelve months in a format compatible for uploading to the United States environmental protection agency's energy star portfolio manager.</w:t>
      </w:r>
    </w:p>
    <w:p>
      <w:pPr>
        <w:spacing w:before="0" w:after="0" w:line="408" w:lineRule="exact"/>
        <w:ind w:left="0" w:right="0" w:firstLine="576"/>
        <w:jc w:val="left"/>
      </w:pPr>
      <w:r>
        <w:rPr/>
        <w:t xml:space="preserve">(2) On and after January 1, 2010, upon the written authorization or secure electronic authorization of a nonresidential building owner or operator, a qualifying utility shall upload the energy consumption data for the accounts specified by the owner or operator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t xml:space="preserve">(3) In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w:t>
      </w:r>
    </w:p>
    <w:p>
      <w:pPr>
        <w:spacing w:before="0" w:after="0" w:line="408" w:lineRule="exact"/>
        <w:ind w:left="0" w:right="0" w:firstLine="576"/>
        <w:jc w:val="left"/>
      </w:pPr>
      <w:r>
        <w:rPr/>
        <w:t xml:space="preserve">(4) Disclosure of nonpublic nonresidential benchmarking data and ratings required under subsection (5) of this section will be phased in as follows: </w:t>
      </w:r>
    </w:p>
    <w:p>
      <w:pPr>
        <w:spacing w:before="0" w:after="0" w:line="408" w:lineRule="exact"/>
        <w:ind w:left="0" w:right="0" w:firstLine="576"/>
        <w:jc w:val="left"/>
      </w:pPr>
      <w:r>
        <w:rPr/>
        <w:t xml:space="preserve">(a) By January 1, 2011, for buildings greater than fifty thousand square feet; and</w:t>
      </w:r>
    </w:p>
    <w:p>
      <w:pPr>
        <w:spacing w:before="0" w:after="0" w:line="408" w:lineRule="exact"/>
        <w:ind w:left="0" w:right="0" w:firstLine="576"/>
        <w:jc w:val="left"/>
      </w:pPr>
      <w:r>
        <w:rPr/>
        <w:t xml:space="preserve">(b) By January 1, 2012, for buildings greater than ten thousand square feet.</w:t>
      </w:r>
    </w:p>
    <w:p>
      <w:pPr>
        <w:spacing w:before="0" w:after="0" w:line="408" w:lineRule="exact"/>
        <w:ind w:left="0" w:right="0" w:firstLine="576"/>
        <w:jc w:val="left"/>
      </w:pPr>
      <w:r>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t xml:space="preserve">(6) Notwithstanding subsections (4) and (5) of this section, nothing in this section increases or decreases the duties, if any, of a building owner, operator, or their agent under this chapter or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(7) An electric or gas utility that is not a qualifying utility must either offer the upload service specified in subsection (2) of this section or provide customers who are building owners of covered commercial buildings with consumption data in an electronic document formatted for direct upload to the United States environmental protection agency's energy star portfolio manager. Within sixty days of receiving a written or electronic request and authorization of a building owner, the utility must provide the building owner with monthly energy consumption data as required to benchmark the specified building.</w:t>
      </w:r>
    </w:p>
    <w:p>
      <w:pPr>
        <w:spacing w:before="0" w:after="0" w:line="408" w:lineRule="exact"/>
        <w:ind w:left="0" w:right="0" w:firstLine="576"/>
        <w:jc w:val="left"/>
      </w:pPr>
      <w:r>
        <w:rPr>
          <w:u w:val="single"/>
        </w:rPr>
        <w:t xml:space="preserve">(8) For any covered commercial building with three or more tenants, an electric or gas utility must, upon request of the building owner, provide the building owner with aggregated monthly energy consumption data without requiring prior consent from tenants.</w:t>
      </w:r>
    </w:p>
    <w:p>
      <w:pPr>
        <w:spacing w:before="0" w:after="0" w:line="408" w:lineRule="exact"/>
        <w:ind w:left="0" w:right="0" w:firstLine="576"/>
        <w:jc w:val="left"/>
      </w:pPr>
      <w:r>
        <w:rPr>
          <w:u w:val="single"/>
        </w:rPr>
        <w:t xml:space="preserve">(9) An electric or gas utility must ensure that all data provided in compliance with this section does not contain personally identifiable information or customer-specific billing information about tenants of a covered commercial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section 15 of this act. The targets must be based on a conservation potential assessment prepared by an independent third party. Conservation targets must be approved by order by the commission. The initial conservation target must take effect by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Renewable natural gas provides benefits to natural gas utility customers and to the public; and</w:t>
      </w:r>
    </w:p>
    <w:p>
      <w:pPr>
        <w:spacing w:before="0" w:after="0" w:line="408" w:lineRule="exact"/>
        <w:ind w:left="0" w:right="0" w:firstLine="576"/>
        <w:jc w:val="left"/>
      </w:pPr>
      <w:r>
        <w:rPr/>
        <w:t xml:space="preserve">(b) The development of renewable natural gas resources should be encouraged to support a smooth transition to a low carbon energy economy in Washington.</w:t>
      </w:r>
    </w:p>
    <w:p>
      <w:pPr>
        <w:spacing w:before="0" w:after="0" w:line="408" w:lineRule="exact"/>
        <w:ind w:left="0" w:right="0" w:firstLine="576"/>
        <w:jc w:val="left"/>
      </w:pPr>
      <w:r>
        <w:rPr/>
        <w:t xml:space="preserve">(2) The policy of the state is to provide clear and reliable guidelines for gas companies that opt to procure or produce renewable natural gas resources to serve their customers and that ensure robust ratepayer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natural gas company may propose a renewable natural gas program under which the company would supply renewable natural gas for a portion of the natural gas sold or delivered to its retail customers. The renewable natural gas program is subject to review and approval by the commission. The customer charge for a renewable natural gas program may not exceed five percent of the amount charged to retail customers for natural gas.</w:t>
      </w:r>
    </w:p>
    <w:p>
      <w:pPr>
        <w:spacing w:before="0" w:after="0" w:line="408" w:lineRule="exact"/>
        <w:ind w:left="0" w:right="0" w:firstLine="576"/>
        <w:jc w:val="left"/>
      </w:pPr>
      <w:r>
        <w:rPr/>
        <w:t xml:space="preserve">(2) The environmental attributes of renewable natural gas provided under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rPr/>
        <w:t xml:space="preserve">(3) As used in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gas company must offer by tariff a voluntary renewable natural gas service available to all customers to replace any portion of the natural gas that would otherwise be provided by the gas company. The tariff may provide reasonable limits on participation based on the availability of renewable natural gas and may use environmental attributes of renewable natural gas combined with natural gas. The voluntary renewable natural gas service must include delivery to, or the retirement on behalf of, the customer of all environmental attributes associated with the renewable natural gas.</w:t>
      </w:r>
    </w:p>
    <w:p>
      <w:pPr>
        <w:spacing w:before="0" w:after="0" w:line="408" w:lineRule="exact"/>
        <w:ind w:left="0" w:right="0" w:firstLine="576"/>
        <w:jc w:val="left"/>
      </w:pPr>
      <w:r>
        <w:rPr/>
        <w:t xml:space="preserve">(2) As used in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section 11 of this act, the cost of greenhouse gas emissions resulting from the use of natural gas, including the effect of emissions occurring in the gathering, transmission, and distribution of natural gas to the end user is equal to the cost per metric ton of carbon dioxide emissions, using the two and one-half percent discount rate, listed in table 2, Technical Support Document: Technical update of the social cost of carbon for regulatory impact analysis under Executive Order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commission must monitor the greenhouse gas emissions resulting from natural gas and renewable natural gas delivered by each gas company to its customers, relative to a proportionate share of the state's greenhouse gas emissions reduction goal. The commission must report to the governor by January 1, 2020, and every five years thereafter, an assessment of whether the gas companies are on track to meet a proportionate share of the state's greenhouse gas emissions reduction goal. The commission may rely on reports submitted by gas companies to the United States environmental protection agency or other governmental agencies in complying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rPr/>
        <w:t xml:space="preserve">Except as provided in RCW 19.27A.020</w:t>
      </w:r>
      <w:r>
        <w:t>((</w:t>
      </w:r>
      <w:r>
        <w:rPr>
          <w:strike/>
        </w:rPr>
        <w:t xml:space="preserve">(7)</w:t>
      </w:r>
      <w:r>
        <w:t>))</w:t>
      </w:r>
      <w:r>
        <w:rPr/>
        <w:t xml:space="preserve"> </w:t>
      </w:r>
      <w:r>
        <w:rPr>
          <w:u w:val="single"/>
        </w:rPr>
        <w:t xml:space="preserve">(6)</w:t>
      </w:r>
      <w:r>
        <w:rPr/>
        <w:t xml:space="preserve">, the Washington state energy code for residential buildings shall be the </w:t>
      </w:r>
      <w:r>
        <w:t>((</w:t>
      </w:r>
      <w:r>
        <w:rPr>
          <w:strike/>
        </w:rPr>
        <w:t xml:space="preserve">maximum and</w:t>
      </w:r>
      <w:r>
        <w:t>))</w:t>
      </w:r>
      <w:r>
        <w:rPr/>
        <w:t xml:space="preserve"> minimum energy code for residential buildings in each city, town, and county and shall be enforced by each city, town, and county no later than July 1, 1991. The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w:t>
      </w:r>
      <w:r>
        <w:t>((</w:t>
      </w:r>
      <w:r>
        <w:rPr>
          <w:strike/>
        </w:rPr>
        <w:t xml:space="preserve">cost-effective to building owners and tenants</w:t>
      </w:r>
      <w:r>
        <w:t>))</w:t>
      </w:r>
      <w:r>
        <w:rPr/>
        <w:t xml:space="preserve"> </w:t>
      </w:r>
      <w:r>
        <w:rPr>
          <w:u w:val="single"/>
        </w:rPr>
        <w:t xml:space="preserve">developed to yield the lowest overall cost to the building owner and occupant while meeting the energy reduction goals established under RCW 19.27A.160</w:t>
      </w:r>
      <w:r>
        <w:rPr/>
        <w:t xml:space="preserve">.</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2009 c 459 s 16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u w:val="single"/>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fifty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 owned infrastructure, as allowed by applicable local and national electrical code. For accessible parking spaces, the greater of one parking space or ten percent of accessible parking spaces, rounded up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u w:val="single"/>
        </w:rPr>
        <w:t xml:space="preserve">(b) For occupancies classified as assembly or mercantile, the requirements of this section apply only to employee parking spaces. The requirements of this section do not apply to occupancies classified as residential R-3, utility, or miscellaneous.</w:t>
      </w:r>
    </w:p>
    <w:p/>
    <w:p>
      <w:pPr>
        <w:jc w:val="center"/>
      </w:pPr>
      <w:r>
        <w:rPr>
          <w:b/>
        </w:rPr>
        <w:t>--- END ---</w:t>
      </w:r>
    </w:p>
    <w:sectPr>
      <w:pgNumType w:start="1"/>
      <w:footerReference xmlns:r="http://schemas.openxmlformats.org/officeDocument/2006/relationships" r:id="R92f3c557c3c644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fa9f1f06874206" /><Relationship Type="http://schemas.openxmlformats.org/officeDocument/2006/relationships/footer" Target="/word/footer1.xml" Id="R92f3c557c3c644ff" /></Relationships>
</file>