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00b6ae3e2b448c" /></Relationships>
</file>

<file path=word/document.xml><?xml version="1.0" encoding="utf-8"?>
<w:document xmlns:w="http://schemas.openxmlformats.org/wordprocessingml/2006/main">
  <w:body>
    <w:p>
      <w:r>
        <w:t>S-6199.1</w:t>
      </w:r>
    </w:p>
    <w:p>
      <w:pPr>
        <w:jc w:val="center"/>
      </w:pPr>
      <w:r>
        <w:t>_______________________________________________</w:t>
      </w:r>
    </w:p>
    <w:p/>
    <w:p>
      <w:pPr>
        <w:jc w:val="center"/>
      </w:pPr>
      <w:r>
        <w:rPr>
          <w:b/>
        </w:rPr>
        <w:t>SECOND SUBSTITUTE SENATE BILL 5299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Padden, Frockt, Kuderer, and Wagoner)</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impaired driving; amending RCW 46.61.502, 46.61.5055, 46.61.504, and 9.94A.525; creating a new section; prescribing penalties;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2017 c 335 s 1 are each amended to read as follows:</w:t>
      </w:r>
    </w:p>
    <w:p>
      <w:pPr>
        <w:spacing w:before="0" w:after="0" w:line="408" w:lineRule="exact"/>
        <w:ind w:left="0" w:right="0" w:firstLine="576"/>
        <w:jc w:val="left"/>
      </w:pPr>
      <w:r>
        <w:rPr/>
        <w:t xml:space="preserve">(1) A person is guilty of driving while under the influence of intoxicating liquor, marijuana, or any drug if the person drives a vehicle within this state:</w:t>
      </w:r>
    </w:p>
    <w:p>
      <w:pPr>
        <w:spacing w:before="0" w:after="0" w:line="408" w:lineRule="exact"/>
        <w:ind w:left="0" w:right="0" w:firstLine="576"/>
        <w:jc w:val="left"/>
      </w:pPr>
      <w:r>
        <w:rPr/>
        <w:t xml:space="preserve">(a) And the person has, within two hours after driving,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driving,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marijuana, or any drug; or</w:t>
      </w:r>
    </w:p>
    <w:p>
      <w:pPr>
        <w:spacing w:before="0" w:after="0" w:line="408" w:lineRule="exact"/>
        <w:ind w:left="0" w:right="0" w:firstLine="576"/>
        <w:jc w:val="left"/>
      </w:pPr>
      <w:r>
        <w:rPr/>
        <w:t xml:space="preserve">(d) While the person is under the combined influence of or affected by intoxicating liquor, marijuana,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shall not constitute a defense against a charge of violating this section.</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0.08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driving may be used as evidence that within two hours of the alleged driving,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B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fifteen</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2018 c 201 s 9009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term of imprisonment and electronic home monitoring under this subsection (2)(a)(i), the court may order a minimum of four days in jail and either one hundred eighty days of electronic home monitoring or a one hundred twenty-day period of 24/7 sobriety program monitoring pursuant to RCW 36.28A.300 through 36.28A.390.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imprisonment and electronic home monitoring under this subsection (2)(b)(i), the court may order a minimum of six days in jail and either six months of electronic home monitoring or a one hundred twenty-day period of 24/7 sobriety program monitoring pursuant to RCW 36.28A.300 through 36.28A.390.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w:t>
      </w:r>
      <w:r>
        <w:rPr>
          <w:b/>
        </w:rPr>
        <w:t xml:space="preserve"> or more prior offenses in </w:t>
      </w:r>
      <w:r>
        <w:t>((</w:t>
      </w:r>
      <w:r>
        <w:rPr>
          <w:b/>
          <w:strike/>
        </w:rPr>
        <w:t xml:space="preserve">ten</w:t>
      </w:r>
      <w:r>
        <w:t>))</w:t>
      </w:r>
      <w:r>
        <w:rPr>
          <w:b/>
        </w:rPr>
        <w:t xml:space="preserve"> </w:t>
      </w:r>
      <w:r>
        <w:rPr>
          <w:b/>
          <w:u w:val="single"/>
        </w:rPr>
        <w:t xml:space="preserve">fifteen</w:t>
      </w:r>
      <w:r>
        <w:rPr>
          <w:b/>
        </w:rPr>
        <w:t xml:space="preserve">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fifteen</w:t>
      </w:r>
      <w:r>
        <w:rPr/>
        <w:t xml:space="preserve">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prior offense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 or until the person is evaluated by an alcoholism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rPr/>
        <w:t xml:space="preserve">(ii) Where there has been one prior offense within seven years, be revoked or denied by the department for two years or until the person is evaluated by an alcoholism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 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licensed or certified by the department of health;</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w:t>
      </w:r>
      <w:r>
        <w:t>((</w:t>
      </w:r>
      <w:r>
        <w:rPr>
          <w:strike/>
        </w:rPr>
        <w:t xml:space="preserve">ten</w:t>
      </w:r>
      <w:r>
        <w:t>))</w:t>
      </w:r>
      <w:r>
        <w:rPr/>
        <w:t xml:space="preserve"> </w:t>
      </w:r>
      <w:r>
        <w:rPr>
          <w:u w:val="single"/>
        </w:rPr>
        <w:t xml:space="preserve">fifteen</w:t>
      </w:r>
      <w:r>
        <w:rPr/>
        <w:t xml:space="preserve"> years" means that the arrest for a prior offense occurred within </w:t>
      </w:r>
      <w:r>
        <w:t>((</w:t>
      </w:r>
      <w:r>
        <w:rPr>
          <w:strike/>
        </w:rPr>
        <w:t xml:space="preserve">ten</w:t>
      </w:r>
      <w:r>
        <w:t>))</w:t>
      </w:r>
      <w:r>
        <w:rPr/>
        <w:t xml:space="preserve"> </w:t>
      </w:r>
      <w:r>
        <w:rPr>
          <w:u w:val="single"/>
        </w:rPr>
        <w:t xml:space="preserve">fifteen</w:t>
      </w:r>
      <w:r>
        <w:rPr/>
        <w:t xml:space="preserve">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2017 c 335 s 2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fifteen</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2017 c 272 s 3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adult and juvenile prior convictions.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and 1/2 point for each juvenile prior nonviolent felony conviction.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and juvenile violent felony conviction, one point for each prior adult nonviolent felony conviction, and 1/2 point for each prior juvenile nonviolent felony conviction.</w:t>
      </w:r>
    </w:p>
    <w:p>
      <w:pPr>
        <w:spacing w:before="0" w:after="0" w:line="408" w:lineRule="exact"/>
        <w:ind w:left="0" w:right="0" w:firstLine="576"/>
        <w:jc w:val="left"/>
      </w:pPr>
      <w:r>
        <w:rPr/>
        <w:t xml:space="preserve">(9) If the present conviction is for a serious violent offense, count three points for prior adult and juvenile convictions for crimes in this category, two points for each prior adult and juvenile violent conviction (not already counted), one point for each prior adult nonviolent felony conviction, and 1/2 point for each prior juvenile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adult Burglary 2 or residential burglary conviction, and one point for each prior juvenile Burglary 2 or residential burglary conviction.</w:t>
      </w:r>
    </w:p>
    <w:p>
      <w:pPr>
        <w:spacing w:before="0" w:after="0" w:line="408" w:lineRule="exact"/>
        <w:ind w:left="0" w:right="0" w:firstLine="576"/>
        <w:jc w:val="left"/>
      </w:pPr>
      <w:r>
        <w:rPr/>
        <w:t xml:space="preserve">(11) If the present conviction is for a felony traffic offense count two points for each adult or juvenile prior conviction for Vehicular Homicide or Vehicular Assault;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adult or juvenile prior conviction for homicide by watercraft or assault by watercraft;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and two points for each juvenile manufacture of methamphetamine offense. If the present conviction is for a drug offense and the offender has a criminal history that includes a sex offense or serious violent offense, count three points for each adult prior felony drug offense conviction and two points for each juvenile drug offense. All other adult and juvenile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adult prior escape convictions as one point and juvenile prior escape convictions as 1/2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adult and juvenile prior Burglary 1 conviction, two points for each adult prior Burglary 2 or residential burglary conviction, and one point for each juvenile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w:t>
      </w:r>
      <w:r>
        <w:t>((</w:t>
      </w:r>
      <w:r>
        <w:rPr>
          <w:strike/>
        </w:rPr>
        <w:t xml:space="preserve">9A.44.130 or</w:t>
      </w:r>
      <w:r>
        <w:t>))</w:t>
      </w:r>
      <w:r>
        <w:rPr/>
        <w:t xml:space="preserve"> 9A.44.132, count priors as in subsections (7) through (11) and (13) through (16) of this section; however count three points for each adult and juvenile prior sex offense conviction, excluding prior convictions for failure to register as a sex offender under RCW </w:t>
      </w:r>
      <w:r>
        <w:t>((</w:t>
      </w:r>
      <w:r>
        <w:rPr>
          <w:strike/>
        </w:rPr>
        <w:t xml:space="preserve">9A.44.130 or</w:t>
      </w:r>
      <w:r>
        <w:t>))</w:t>
      </w:r>
      <w:r>
        <w:rPr/>
        <w:t xml:space="preserve">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adult and juvenile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pleaded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pleaded and proven after August 1, 2011, for any of the following offenses: A felony violation of a no</w:t>
      </w:r>
      <w:r>
        <w:rPr/>
        <w:noBreakHyphen/>
      </w:r>
      <w:r>
        <w:rPr/>
        <w:t xml:space="preserve">contact or protection order RCW 26.50.110, felony Harassment (RCW 9A.46.020(2)(b)), felony Stalking (RCW 9A.46.110(5)(b)), Burglary 1 (RCW 9A.52.020), Kidnapping 1 (RCW 9A.40.020), Kidnapping 2 (RCW 9A.40.030), Unlawful imprisonment (RCW 9A.40.040), Robbery 1 (RCW 9A.56.200), Robbery 2 (RCW 9A.56.210), Assault 1 (RCW 9A.36.011), Assault 2 (RCW 9A.36.021), Assault 3 (RCW 9A.36.031), Arson 1 (RCW 9A.48.020), or Arson 2 (RCW 9A.48.030);</w:t>
      </w:r>
    </w:p>
    <w:p>
      <w:pPr>
        <w:spacing w:before="0" w:after="0" w:line="408" w:lineRule="exact"/>
        <w:ind w:left="0" w:right="0" w:firstLine="576"/>
        <w:jc w:val="left"/>
      </w:pPr>
      <w:r>
        <w:rPr/>
        <w:t xml:space="preserve">(b) Count two points for each adult prior conviction where domestic violence as defined in RCW 9.94A.030 was pleaded and proven after July 23, 2017,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w:t>
      </w:r>
    </w:p>
    <w:p>
      <w:pPr>
        <w:spacing w:before="0" w:after="0" w:line="408" w:lineRule="exact"/>
        <w:ind w:left="0" w:right="0" w:firstLine="576"/>
        <w:jc w:val="left"/>
      </w:pPr>
      <w:r>
        <w:rPr/>
        <w:t xml:space="preserve">(c) Count one point for each second and subsequent juvenile conviction where domestic violence as defined in RCW 9.94A.030 was pleaded and proven after August 1, 2011, for the offenses listed in (a) of this subsection; and</w:t>
      </w:r>
    </w:p>
    <w:p>
      <w:pPr>
        <w:spacing w:before="0" w:after="0" w:line="408" w:lineRule="exact"/>
        <w:ind w:left="0" w:right="0" w:firstLine="576"/>
        <w:jc w:val="left"/>
      </w:pPr>
      <w:r>
        <w:rPr/>
        <w:t xml:space="preserve">(d) Count one point for each adult prior conviction for a repetitive domestic violence offense as defined in RCW 9.94A.030, where domestic violence as defined in RCW 9.94A.030, was pleaded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existing resources, the Washington association of sheriffs and police chiefs shall review current laws and regulations regarding the sentencing structure for impaired driving offenses in an effort to reduce fatalities from individuals driving under the influence. The review must include looking at lookback periods, number of previous offenses, and other possible recommendations to reduce these fatalities. The Washington association of sheriffs and police chiefs shall provide its recommendations to the governor and appropriate committees of the legislature by December 1, 2020.</w:t>
      </w:r>
    </w:p>
    <w:p>
      <w:pPr>
        <w:spacing w:before="0" w:after="0" w:line="408" w:lineRule="exact"/>
        <w:ind w:left="0" w:right="0" w:firstLine="576"/>
        <w:jc w:val="left"/>
      </w:pPr>
      <w:r>
        <w:rPr/>
        <w:t xml:space="preserve">(2) This section expires June 30, 2021.</w:t>
      </w:r>
    </w:p>
    <w:p/>
    <w:p>
      <w:pPr>
        <w:jc w:val="center"/>
      </w:pPr>
      <w:r>
        <w:rPr>
          <w:b/>
        </w:rPr>
        <w:t>--- END ---</w:t>
      </w:r>
    </w:p>
    <w:sectPr>
      <w:pgNumType w:start="1"/>
      <w:footerReference xmlns:r="http://schemas.openxmlformats.org/officeDocument/2006/relationships" r:id="Ra5a6cf59fd8144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8acc6809c5466d" /><Relationship Type="http://schemas.openxmlformats.org/officeDocument/2006/relationships/footer" Target="/word/footer1.xml" Id="Ra5a6cf59fd81442b" /></Relationships>
</file>