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e212b3f9f149c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Rivers, Palumbo, and Wagoner)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compliance and enforcement provisions for marijuana licensees; amending RCW 69.50.342 and 69.50.331; reenacting and amending RCW 69.50.101; adding new sections to chapter 43.05 RCW; adding new sections to chapter 69.50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responsible party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responsible party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person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from the sale of marijuana product to criminal enterprises, gangs, or cartels;</w:t>
      </w:r>
    </w:p>
    <w:p>
      <w:pPr>
        <w:spacing w:before="0" w:after="0" w:line="408" w:lineRule="exact"/>
        <w:ind w:left="0" w:right="0" w:firstLine="576"/>
        <w:jc w:val="left"/>
      </w:pPr>
      <w:r>
        <w:rPr/>
        <w:t xml:space="preserve">(iv) Use of firearms in a facility licensed by the board that poses a direct and significant threat to public safety; or</w:t>
      </w:r>
    </w:p>
    <w:p>
      <w:pPr>
        <w:spacing w:before="0" w:after="0" w:line="408" w:lineRule="exact"/>
        <w:ind w:left="0" w:right="0" w:firstLine="576"/>
        <w:jc w:val="left"/>
      </w:pPr>
      <w:r>
        <w:rPr/>
        <w:t xml:space="preserve">(v) The commission of nonmarijuana-related crimes.</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 </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Information obtained by the board as a result of licensee-requested consultation and training services is confidential and not subject to public inspection under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w:t>
      </w:r>
    </w:p>
    <w:p>
      <w:pPr>
        <w:spacing w:before="0" w:after="0" w:line="408" w:lineRule="exact"/>
        <w:ind w:left="0" w:right="0" w:firstLine="576"/>
        <w:jc w:val="left"/>
      </w:pPr>
      <w:r>
        <w:rPr/>
        <w:t xml:space="preserve">(b) May not include cancellation of a license for a single violation, unless the board can prove by clear, cogent, and convincing evidence that the administrative violation evidences intentional or grossly negligent action or inaction that results in a high probability of:</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from the sale of marijuana product to criminal enterprises, gangs, or cartels;</w:t>
      </w:r>
    </w:p>
    <w:p>
      <w:pPr>
        <w:spacing w:before="0" w:after="0" w:line="408" w:lineRule="exact"/>
        <w:ind w:left="0" w:right="0" w:firstLine="576"/>
        <w:jc w:val="left"/>
      </w:pPr>
      <w:r>
        <w:rPr/>
        <w:t xml:space="preserve">(iv) Use of firearms in a facility licensed by the board that poses a direct and significant threat to public safety; or</w:t>
      </w:r>
    </w:p>
    <w:p>
      <w:pPr>
        <w:spacing w:before="0" w:after="0" w:line="408" w:lineRule="exact"/>
        <w:ind w:left="0" w:right="0" w:firstLine="576"/>
        <w:jc w:val="left"/>
      </w:pPr>
      <w:r>
        <w:rPr/>
        <w:t xml:space="preserve">(v) The commission of nonmarijuana-related crimes;</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employee misconduct that led to the violation if the licensee provides documentation that before the date of the violation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before April 30, 2017, as grounds for denial, suspension, revocation, cancellation, or nonrenewal, unless the board can prove by clear, cogent, and convincing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Furnishing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The commission of nonmarijuana-related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3, and 6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examiner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examiner or designee of the board at or after a settlement conference, the terms of the settlement agreement must be given substantial weight by the board and the board may only disapprove, modify, change, or add to the terms of the settlement agreement including terms addressing penalties and license restrictions if the board finds the agreements to be clearly erroneous.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examiner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examiner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examiner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on cannabis enforcement and training processes and procedures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members representing one representative from each of the trade associations representing licensed cannabis businesses and one representative of a labor union representing employees who are enforcement officers for the liquor and cannabis board.</w:t>
      </w:r>
    </w:p>
    <w:p>
      <w:pPr>
        <w:spacing w:before="0" w:after="0" w:line="408" w:lineRule="exact"/>
        <w:ind w:left="0" w:right="0" w:firstLine="576"/>
        <w:jc w:val="left"/>
      </w:pPr>
      <w:r>
        <w:rPr/>
        <w:t xml:space="preserve">(iv) The governor shall appoint one member representing the governor.</w:t>
      </w:r>
    </w:p>
    <w:p>
      <w:pPr>
        <w:spacing w:before="0" w:after="0" w:line="408" w:lineRule="exact"/>
        <w:ind w:left="0" w:right="0" w:firstLine="576"/>
        <w:jc w:val="left"/>
      </w:pPr>
      <w:r>
        <w:rPr/>
        <w:t xml:space="preserve">(v) The chair of the liquor and cannabis board shall appoint one member representing the board.</w:t>
      </w:r>
    </w:p>
    <w:p>
      <w:pPr>
        <w:spacing w:before="0" w:after="0" w:line="408" w:lineRule="exact"/>
        <w:ind w:left="0" w:right="0" w:firstLine="576"/>
        <w:jc w:val="left"/>
      </w:pPr>
      <w:r>
        <w:rPr/>
        <w:t xml:space="preserve">(b) The work group shall choose its cochairs from among its legislative membership. A legislator shall convene the initial meeting of the work group.</w:t>
      </w:r>
    </w:p>
    <w:p>
      <w:pPr>
        <w:spacing w:before="0" w:after="0" w:line="408" w:lineRule="exact"/>
        <w:ind w:left="0" w:right="0" w:firstLine="576"/>
        <w:jc w:val="left"/>
      </w:pPr>
      <w:r>
        <w:rPr/>
        <w:t xml:space="preserve">(2) The work group shall review the following issues:</w:t>
      </w:r>
    </w:p>
    <w:p>
      <w:pPr>
        <w:spacing w:before="0" w:after="0" w:line="408" w:lineRule="exact"/>
        <w:ind w:left="0" w:right="0" w:firstLine="576"/>
        <w:jc w:val="left"/>
      </w:pPr>
      <w:r>
        <w:rPr/>
        <w:t xml:space="preserve">(a) The use of anonymous complaints to initiate enforcement actions;</w:t>
      </w:r>
    </w:p>
    <w:p>
      <w:pPr>
        <w:spacing w:before="0" w:after="0" w:line="408" w:lineRule="exact"/>
        <w:ind w:left="0" w:right="0" w:firstLine="576"/>
        <w:jc w:val="left"/>
      </w:pPr>
      <w:r>
        <w:rPr/>
        <w:t xml:space="preserve">(b) The uniform qualifications and experience that should be established for enforcement officers;</w:t>
      </w:r>
    </w:p>
    <w:p>
      <w:pPr>
        <w:spacing w:before="0" w:after="0" w:line="408" w:lineRule="exact"/>
        <w:ind w:left="0" w:right="0" w:firstLine="576"/>
        <w:jc w:val="left"/>
      </w:pPr>
      <w:r>
        <w:rPr/>
        <w:t xml:space="preserve">(c) The training and guidelines given to enforcement officers;</w:t>
      </w:r>
    </w:p>
    <w:p>
      <w:pPr>
        <w:spacing w:before="0" w:after="0" w:line="408" w:lineRule="exact"/>
        <w:ind w:left="0" w:right="0" w:firstLine="576"/>
        <w:jc w:val="left"/>
      </w:pPr>
      <w:r>
        <w:rPr/>
        <w:t xml:space="preserve">(d) Whether the board should create an ombuds position where license holders may register concerns about the board's procedures, actions, or employees, without threat of retaliation; and</w:t>
      </w:r>
    </w:p>
    <w:p>
      <w:pPr>
        <w:spacing w:before="0" w:after="0" w:line="408" w:lineRule="exact"/>
        <w:ind w:left="0" w:right="0" w:firstLine="576"/>
        <w:jc w:val="left"/>
      </w:pPr>
      <w:r>
        <w:rPr/>
        <w:t xml:space="preserve">(e) Other such issues as identified by the cochairs of the work group.</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15, 2019.</w:t>
      </w:r>
    </w:p>
    <w:p>
      <w:pPr>
        <w:spacing w:before="0" w:after="0" w:line="408" w:lineRule="exact"/>
        <w:ind w:left="0" w:right="0" w:firstLine="576"/>
        <w:jc w:val="left"/>
      </w:pPr>
      <w:r>
        <w:rPr/>
        <w:t xml:space="preserve">(7) This section expires December 31, 2019.</w:t>
      </w:r>
    </w:p>
    <w:p/>
    <w:p>
      <w:pPr>
        <w:jc w:val="center"/>
      </w:pPr>
      <w:r>
        <w:rPr>
          <w:b/>
        </w:rPr>
        <w:t>--- END ---</w:t>
      </w:r>
    </w:p>
    <w:sectPr>
      <w:pgNumType w:start="1"/>
      <w:footerReference xmlns:r="http://schemas.openxmlformats.org/officeDocument/2006/relationships" r:id="Re6452e96d7a54f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c59fe7f6b4675" /><Relationship Type="http://schemas.openxmlformats.org/officeDocument/2006/relationships/footer" Target="/word/footer1.xml" Id="Re6452e96d7a54f19" /></Relationships>
</file>