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0288d04074478" /></Relationships>
</file>

<file path=word/document.xml><?xml version="1.0" encoding="utf-8"?>
<w:document xmlns:w="http://schemas.openxmlformats.org/wordprocessingml/2006/main">
  <w:body>
    <w:p>
      <w:r>
        <w:t>S-1149.1</w:t>
      </w:r>
    </w:p>
    <w:p>
      <w:pPr>
        <w:jc w:val="center"/>
      </w:pPr>
      <w:r>
        <w:t>_______________________________________________</w:t>
      </w:r>
    </w:p>
    <w:p/>
    <w:p>
      <w:pPr>
        <w:jc w:val="center"/>
      </w:pPr>
      <w:r>
        <w:rPr>
          <w:b/>
        </w:rPr>
        <w:t>SUBSTITUTE SENATE BILL 5331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Palumbo, Honeyford, Cleveland, Walsh, Randall, King, Frockt, Billig, Conway, Dhingra, Keiser, Kuderer, Pedersen, Saldaña, and Warnick)</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and 18.88B.041; adding a new section to chapter 44.28 RCW;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each year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(6) "Employee" has the meaning provided in RCW 50A.04.010.</w:t>
      </w:r>
    </w:p>
    <w:p>
      <w:pPr>
        <w:spacing w:before="0" w:after="0" w:line="408" w:lineRule="exact"/>
        <w:ind w:left="0" w:right="0" w:firstLine="576"/>
        <w:jc w:val="left"/>
      </w:pPr>
      <w:r>
        <w:rPr/>
        <w:t xml:space="preserve">(7) "Employer" has the meaning provided in RCW 50A.04.010.</w:t>
      </w:r>
    </w:p>
    <w:p>
      <w:pPr>
        <w:spacing w:before="0" w:after="0" w:line="408" w:lineRule="exact"/>
        <w:ind w:left="0" w:right="0" w:firstLine="576"/>
        <w:jc w:val="left"/>
      </w:pPr>
      <w:r>
        <w:rPr/>
        <w:t xml:space="preserve">(8) "Employment" has the meaning provided in RCW 50A.04.010.</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age, residence, and duration of payment requirements, as established in this chapter.</w:t>
      </w:r>
    </w:p>
    <w:p>
      <w:pPr>
        <w:spacing w:before="0" w:after="0" w:line="408" w:lineRule="exact"/>
        <w:ind w:left="0" w:right="0" w:firstLine="576"/>
        <w:jc w:val="left"/>
      </w:pPr>
      <w:r>
        <w:rPr/>
        <w:t xml:space="preserve">(14)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w:t>
      </w:r>
    </w:p>
    <w:p>
      <w:pPr>
        <w:spacing w:before="0" w:after="0" w:line="408" w:lineRule="exact"/>
        <w:ind w:left="0" w:right="0" w:firstLine="576"/>
        <w:jc w:val="left"/>
      </w:pPr>
      <w:r>
        <w:rPr/>
        <w:t xml:space="preserve">(j)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(k)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in coordination with the same activities conducted under the family and medical leave act, chapter 50A.04 RCW, to the extent possible;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8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8 of this act.</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Changes to rules or policies to improve the operation of the program;</w:t>
      </w:r>
    </w:p>
    <w:p>
      <w:pPr>
        <w:spacing w:before="0" w:after="0" w:line="408" w:lineRule="exact"/>
        <w:ind w:left="0" w:right="0" w:firstLine="576"/>
        <w:jc w:val="left"/>
      </w:pPr>
      <w:r>
        <w:rPr/>
        <w:t xml:space="preserve">(d) The annual adjustment of the benefit unit in accordance with the formula established in section 2 of this act; and</w:t>
      </w:r>
    </w:p>
    <w:p>
      <w:pPr>
        <w:spacing w:before="0" w:after="0" w:line="408" w:lineRule="exact"/>
        <w:ind w:left="0" w:right="0" w:firstLine="576"/>
        <w:jc w:val="left"/>
      </w:pPr>
      <w:r>
        <w:rPr/>
        <w:t xml:space="preserve">(e) The preparation of regular actuarial reports on the solvency and financial status of the program.</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approved services and benefits that are payable to a registered long-term services and supports provider on behalf of a qualified individual under this section if the qualified individual has been determined by the department of social and health services to require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for at least ten percent of full-time employment status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(4)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(5) Premiums collected in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8 of this act must be deposited in the account. Expenditures from the account may be used for the administrative activities and payment of benefits associated with the program.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or a state-federal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1, 2032, the joint legislative audit and review committee must report on the performance of the long-term services and supports trust commission established in section 4 of this act in providing oversight to the long-term services and supports trust program and make recommendations to the legislature on ways to improve the functioning, efficiency, and membership, as well as whether the long-term services and supports trust commission should continue to exist or should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19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19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9f5bccc80379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56467a5f149eb" /><Relationship Type="http://schemas.openxmlformats.org/officeDocument/2006/relationships/footer" Target="/word/footer1.xml" Id="R9f5bccc803794304" /></Relationships>
</file>