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cbbc6e0a9448dc" /></Relationships>
</file>

<file path=word/document.xml><?xml version="1.0" encoding="utf-8"?>
<w:document xmlns:w="http://schemas.openxmlformats.org/wordprocessingml/2006/main">
  <w:body>
    <w:p>
      <w:r>
        <w:t>S-0297.2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5368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66th Legislature</w:t>
        <w:tab/>
      </w:r>
      <w:r>
        <w:rPr>
          <w:b/>
        </w:rPr>
        <w:t>2019 Regular Session</w:t>
      </w:r>
    </w:p>
    <w:p/>
    <w:p>
      <w:r>
        <w:rPr>
          <w:b/>
        </w:rPr>
        <w:t xml:space="preserve">By </w:t>
      </w:r>
      <w:r>
        <w:t>Senators Wagoner, Warnick, Bailey, Honeyford, and Van De Wege</w:t>
      </w:r>
    </w:p>
    <w:p/>
    <w:p>
      <w:r>
        <w:rPr>
          <w:t xml:space="preserve">Read first time 01/18/19.  </w:t>
        </w:rPr>
      </w:r>
      <w:r>
        <w:rPr>
          <w:t xml:space="preserve">Referred to Committee on Agriculture, Water, Natural Resources &amp; Parks.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requiring the department of natural resources to maintain the department's roads that are the exclusive means of accessing private property by road; and adding a new section to chapter 79.38 RCW.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79</w:t>
      </w:r>
      <w:r>
        <w:rPr/>
        <w:t xml:space="preserve">.</w:t>
      </w:r>
      <w:r>
        <w:t xml:space="preserve">38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The department shall maintain any road under its ownership or control that has been the exclusive means of accessing private property by road for a continuous period of at least ten years. The duty imposed on the department under this section terminates if the property that is made accessible by a road under the department's ownership or control ceases to be privately owned.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a11deebfacfc4a12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5368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2e0a1887354bcb" /><Relationship Type="http://schemas.openxmlformats.org/officeDocument/2006/relationships/footer" Target="/word/footer1.xml" Id="Ra11deebfacfc4a12" /></Relationships>
</file>