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bc1bf4cb4486f" /></Relationships>
</file>

<file path=word/document.xml><?xml version="1.0" encoding="utf-8"?>
<w:document xmlns:w="http://schemas.openxmlformats.org/wordprocessingml/2006/main">
  <w:body>
    <w:p>
      <w:r>
        <w:t>S-2149.1</w:t>
      </w:r>
    </w:p>
    <w:p>
      <w:pPr>
        <w:jc w:val="center"/>
      </w:pPr>
      <w:r>
        <w:t>_______________________________________________</w:t>
      </w:r>
    </w:p>
    <w:p/>
    <w:p>
      <w:pPr>
        <w:jc w:val="center"/>
      </w:pPr>
      <w:r>
        <w:rPr>
          <w:b/>
        </w:rPr>
        <w:t>SUBSTITUTE SENATE BILL 5431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Behavioral Health Subcommittee to Health &amp; Long Term Care (originally sponsored by Senators Frockt, Rivers, O'Ban, Dhingra, Darneille, Cleveland, Keiser, Wagoner, Das, Van De Wege, Zeiger, Conway, Hunt, Kuderer, and Nguyen;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facilities needed to ensure a continuum of care for behavioral health patients; amending RCW 71.24.025, 70.38.111, and 70.38.260; reenacting and amending RCW 74.39A.030; adding new sections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(36), and (37) of this section.</w:t>
      </w:r>
    </w:p>
    <w:p>
      <w:pPr>
        <w:spacing w:before="0" w:after="0" w:line="408" w:lineRule="exact"/>
        <w:ind w:left="0" w:right="0" w:firstLine="576"/>
        <w:jc w:val="left"/>
      </w:pPr>
      <w:r>
        <w:rPr/>
        <w:t xml:space="preserve">(29) "Recovery" means the process in which people are able to live, work, learn, and participate fully in their communities.</w:t>
      </w:r>
    </w:p>
    <w:p>
      <w:pPr>
        <w:spacing w:before="0" w:after="0" w:line="408" w:lineRule="exact"/>
        <w:ind w:left="0" w:right="0" w:firstLine="576"/>
        <w:jc w:val="left"/>
      </w:pPr>
      <w:r>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(41)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u w:val="single"/>
        </w:rPr>
        <w:t xml:space="preserve">(42) "Behavioral health drop-in center" means a twenty-four hour peer-run program to serve individuals referred from emergency rooms, hospitals, or designated crisis responders who are in need of voluntary, short-term, noncrisis services that will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Clearly define clinical eligibility criteria in alignment with how "intensive behavioral health treatment facility" is defined in RCW 71.24.025;</w:t>
      </w:r>
    </w:p>
    <w:p>
      <w:pPr>
        <w:spacing w:before="0" w:after="0" w:line="408" w:lineRule="exact"/>
        <w:ind w:left="0" w:right="0" w:firstLine="576"/>
        <w:jc w:val="left"/>
      </w:pPr>
      <w:r>
        <w:rPr/>
        <w:t xml:space="preserve">(2) Require twenty-four hour supervision of residents;</w:t>
      </w:r>
    </w:p>
    <w:p>
      <w:pPr>
        <w:spacing w:before="0" w:after="0" w:line="408" w:lineRule="exact"/>
        <w:ind w:left="0" w:right="0" w:firstLine="576"/>
        <w:jc w:val="left"/>
      </w:pPr>
      <w:r>
        <w:rPr/>
        <w:t xml:space="preserve">(3) Establish staffing requirements that provide an appropriate response to the acuity of the residents, including a clinical team and a high staff to patient ratio;</w:t>
      </w:r>
    </w:p>
    <w:p>
      <w:pPr>
        <w:spacing w:before="0" w:after="0" w:line="408" w:lineRule="exact"/>
        <w:ind w:left="0" w:right="0" w:firstLine="576"/>
        <w:jc w:val="left"/>
      </w:pPr>
      <w:r>
        <w:rPr/>
        <w:t xml:space="preserve">(4) Require access to regular psychosocial rehabilitation services including, but not limited to, skills training in daily living activities, social interaction, behavior management, impulse control, and self-management of medications;</w:t>
      </w:r>
    </w:p>
    <w:p>
      <w:pPr>
        <w:spacing w:before="0" w:after="0" w:line="408" w:lineRule="exact"/>
        <w:ind w:left="0" w:right="0" w:firstLine="576"/>
        <w:jc w:val="left"/>
      </w:pPr>
      <w:r>
        <w:rPr/>
        <w:t xml:space="preserve">(5) Establish requirements for the ability to use limited egress;</w:t>
      </w:r>
    </w:p>
    <w:p>
      <w:pPr>
        <w:spacing w:before="0" w:after="0" w:line="408" w:lineRule="exact"/>
        <w:ind w:left="0" w:right="0" w:firstLine="576"/>
        <w:jc w:val="left"/>
      </w:pPr>
      <w:r>
        <w:rPr/>
        <w:t xml:space="preserve">(6) Limit services to persons at least eighteen years of age; and </w:t>
      </w:r>
    </w:p>
    <w:p>
      <w:pPr>
        <w:spacing w:before="0" w:after="0" w:line="408" w:lineRule="exact"/>
        <w:ind w:left="0" w:right="0" w:firstLine="576"/>
        <w:jc w:val="left"/>
      </w:pPr>
      <w:r>
        <w:rPr/>
        <w:t xml:space="preserve">(7) Establish resident rights that are substantially similar to the rights of residents in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December 1, 2019, the secretary of health, in consultation with the department of social and health services, the department of commerce, the long-term care ombuds, and relevant stakeholders must provide recommendations to the governor and the appropriate committees of the legislature on providing resident rights and access to ombuds services to the residents of the intensive behavioral health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behavioral health drop-in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agencies providing behavioral health drop-in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inpatient care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hospitals licensed under chapters 70.41 and 71.12 RCW, and evaluation and treatment facilities licensed or certified under chapter 71.05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2019, the secretary of health must, in consultation with the department of social and health services, department of children, youth, and families, representatives from providers serving children's inpatient psychiatric needs in each of the three largest cities in Washington, and the health care authority, provide recommendations to the governor's office and the appropriate committees of the legislature on youth short-term residential intensive behavioral health and developmental disabilities services. The recommendations must establish staffing requirements that provide an appropriate level of treatment for residents and include both licensed mental health professionals and developmental disability professionals. The recommendations should also consider developmental disability-related services necessary to support the youth and the youth's family in preparation for and after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
      <w:pPr>
        <w:jc w:val="center"/>
      </w:pPr>
      <w:r>
        <w:rPr>
          <w:b/>
        </w:rPr>
        <w:t>--- END ---</w:t>
      </w:r>
    </w:p>
    <w:sectPr>
      <w:pgNumType w:start="1"/>
      <w:footerReference xmlns:r="http://schemas.openxmlformats.org/officeDocument/2006/relationships" r:id="R565204ff340840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3e2b372a34529" /><Relationship Type="http://schemas.openxmlformats.org/officeDocument/2006/relationships/footer" Target="/word/footer1.xml" Id="R565204ff3408406c" /></Relationships>
</file>