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65efc1055488b" /></Relationships>
</file>

<file path=word/document.xml><?xml version="1.0" encoding="utf-8"?>
<w:document xmlns:w="http://schemas.openxmlformats.org/wordprocessingml/2006/main">
  <w:body>
    <w:p>
      <w:r>
        <w:t>S-0717.1</w:t>
      </w:r>
    </w:p>
    <w:p>
      <w:pPr>
        <w:jc w:val="center"/>
      </w:pPr>
      <w:r>
        <w:t>_______________________________________________</w:t>
      </w:r>
    </w:p>
    <w:p/>
    <w:p>
      <w:pPr>
        <w:jc w:val="center"/>
      </w:pPr>
      <w:r>
        <w:rPr>
          <w:b/>
        </w:rPr>
        <w:t>SENATE BILL 5488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Saldaña, Wilson, C., Keiser, and Nguyen</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persons under the age of twenty-one years at the time of the commission of a crime; and amending RCW 9.94A.533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firearm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deadly weapon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r>
        <w:rPr>
          <w:u w:val="single"/>
        </w:rPr>
        <w:t xml:space="preserve">, except as provided in subsection (15) of this section</w:t>
      </w:r>
      <w:r>
        <w:rPr/>
        <w:t xml:space="preserve">.</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t>((</w:t>
      </w:r>
      <w:r>
        <w:rPr>
          <w:strike/>
        </w:rPr>
        <w:t xml:space="preserve">Notwithstanding any other provision of law,</w:t>
      </w:r>
      <w:r>
        <w:t>))</w:t>
      </w:r>
      <w:r>
        <w:rPr/>
        <w:t xml:space="preserve"> </w:t>
      </w:r>
      <w:r>
        <w:rPr>
          <w:u w:val="single"/>
        </w:rPr>
        <w:t xml:space="preserve">A</w:t>
      </w:r>
      <w:r>
        <w:rPr/>
        <w:t xml:space="preserve">ll impaired driving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w:t>
      </w:r>
      <w:r>
        <w:t>((</w:t>
      </w:r>
      <w:r>
        <w:rPr>
          <w:strike/>
        </w:rPr>
        <w:t xml:space="preserve">Notwithstanding any other provision of law,</w:t>
      </w:r>
      <w:r>
        <w:t>))</w:t>
      </w:r>
      <w:r>
        <w:rPr/>
        <w:t xml:space="preserve"> </w:t>
      </w:r>
      <w:r>
        <w:rPr>
          <w:u w:val="single"/>
        </w:rPr>
        <w:t xml:space="preserve">A</w:t>
      </w:r>
      <w:r>
        <w:rPr/>
        <w:t xml:space="preserve">ll sexual motivation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w:t>
      </w:r>
      <w:r>
        <w:rPr>
          <w:u w:val="single"/>
        </w:rPr>
        <w:t xml:space="preserve">, except as provided in subsection (15) of this section,</w:t>
      </w:r>
      <w:r>
        <w:rPr/>
        <w:t xml:space="preserve">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If the offender is being sentenced in adult court for a crime committed as a minor, the court has discretion to order enhancements be served concurrently in order to reduce the sentence when the sentencing enhancements result in a sentence that is clearly excessive.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defendant's age, sophistication, and role in the crime if the defendant is under adult court jurisdiction for a crime committed as a minor.</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6e75ffcfface49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204310f6c4189" /><Relationship Type="http://schemas.openxmlformats.org/officeDocument/2006/relationships/footer" Target="/word/footer1.xml" Id="R6e75ffcfface49be" /></Relationships>
</file>