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fd73a76c648d1" /></Relationships>
</file>

<file path=word/document.xml><?xml version="1.0" encoding="utf-8"?>
<w:document xmlns:w="http://schemas.openxmlformats.org/wordprocessingml/2006/main">
  <w:body>
    <w:p>
      <w:r>
        <w:t>S-1851.3</w:t>
      </w:r>
    </w:p>
    <w:p>
      <w:pPr>
        <w:jc w:val="center"/>
      </w:pPr>
      <w:r>
        <w:t>_______________________________________________</w:t>
      </w:r>
    </w:p>
    <w:p/>
    <w:p>
      <w:pPr>
        <w:jc w:val="center"/>
      </w:pPr>
      <w:r>
        <w:rPr>
          <w:b/>
        </w:rPr>
        <w:t>SUBSTITUTE SENATE BILL 5526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Frockt, Cleveland, Kuderer, Randall, Keiser, Dhingra, Conway, Wellman, Darneille, Hunt, Hobbs, Das, Liias, Nguyen, Pedersen, Rolfes, Saldaña, and Van De Wege; by request of Office of the Governor)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 For plan years 2021 through 2024, a health carrier offering a standardized health plan under this section may also offer nonstandardized health plans on the exchange subject to the following:</w:t>
      </w:r>
    </w:p>
    <w:p>
      <w:pPr>
        <w:spacing w:before="0" w:after="0" w:line="408" w:lineRule="exact"/>
        <w:ind w:left="0" w:right="0" w:firstLine="576"/>
        <w:jc w:val="left"/>
      </w:pPr>
      <w:r>
        <w:rPr/>
        <w:t xml:space="preserve">(i) For plan years 2021 and 2022, a health carrier may offer an unlimited number of nonstandardized health plans on the exchange;</w:t>
      </w:r>
    </w:p>
    <w:p>
      <w:pPr>
        <w:spacing w:before="0" w:after="0" w:line="408" w:lineRule="exact"/>
        <w:ind w:left="0" w:right="0" w:firstLine="576"/>
        <w:jc w:val="left"/>
      </w:pPr>
      <w:r>
        <w:rPr/>
        <w:t xml:space="preserve">(ii) For plan years 2023 and 2024, a health carrier may not offer more than three nonstandardized health plans in each of the bronze, silver, and gold levels on the exchange; and</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w:t>
      </w:r>
    </w:p>
    <w:p>
      <w:pPr>
        <w:spacing w:before="0" w:after="0" w:line="408" w:lineRule="exact"/>
        <w:ind w:left="0" w:right="0" w:firstLine="576"/>
        <w:jc w:val="left"/>
      </w:pPr>
      <w:r>
        <w:rPr/>
        <w:t xml:space="preserve">(c) For health plan years beginning in 2025, a health carrier may not offer more than two nonstandardized health plans in each of the bronze, silver, and gold levels on the exchange.</w:t>
      </w:r>
    </w:p>
    <w:p>
      <w:pPr>
        <w:spacing w:before="0" w:after="0" w:line="408" w:lineRule="exact"/>
        <w:ind w:left="0" w:right="0" w:firstLine="576"/>
        <w:jc w:val="left"/>
      </w:pPr>
      <w:r>
        <w:rPr/>
        <w:t xml:space="preserve">(d)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must use a managed care model that includes care coordination care management to enrollees as appropriate; and</w:t>
      </w:r>
    </w:p>
    <w:p>
      <w:pPr>
        <w:spacing w:before="0" w:after="0" w:line="408" w:lineRule="exact"/>
        <w:ind w:left="0" w:right="0" w:firstLine="576"/>
        <w:jc w:val="left"/>
      </w:pPr>
      <w:r>
        <w:rPr/>
        <w:t xml:space="preserve">(e)(i) Except as provided in (e)(ii) of this subsection (1),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(ii)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(2) When implementing this section, the director must use a request for qualifications process. The director must review the qualifications of health carriers seeking to offer qualified health plans under this section and may negotiate with the health plans to the extent necessary to refine the health carriers' responses. The director must contract with all health carriers who meet the minimum qualifications.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c93cf091f403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1226bb73b45fb" /><Relationship Type="http://schemas.openxmlformats.org/officeDocument/2006/relationships/footer" Target="/word/footer1.xml" Id="Rc93cf091f4034047" /></Relationships>
</file>