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d6dd643454d6e" /></Relationships>
</file>

<file path=word/document.xml><?xml version="1.0" encoding="utf-8"?>
<w:document xmlns:w="http://schemas.openxmlformats.org/wordprocessingml/2006/main">
  <w:body>
    <w:p>
      <w:r>
        <w:t>S-2116.1</w:t>
      </w:r>
    </w:p>
    <w:p>
      <w:pPr>
        <w:jc w:val="center"/>
      </w:pPr>
      <w:r>
        <w:t>_______________________________________________</w:t>
      </w:r>
    </w:p>
    <w:p/>
    <w:p>
      <w:pPr>
        <w:jc w:val="center"/>
      </w:pPr>
      <w:r>
        <w:rPr>
          <w:b/>
        </w:rPr>
        <w:t>SUBSTITUTE SENATE BILL 5548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and Hunt;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multiple pathways to a meaningful high school diploma; amending RCW 28A.655.065, 28A.230.090, 28A.155.045, 28A.655.061, 28A.155.170, 28A.180.100, 28A.195.010, 28A.200.010, 28A.230.122, 28A.230.125, 28A.320.190, 28A.320.208, 28A.600.310, 28A.700.080, 28A.415.360, 28A.655.068, 28A.655.070, 28A.655.090, and 28A.655.200; adding new sections to chapter 28A.655 RCW; repealing RCW 28A.345.080 and 28A.655.066; providing an effective;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w:t>
      </w:r>
      <w:r>
        <w:t>((</w:t>
      </w:r>
      <w:r>
        <w:rPr>
          <w:strike/>
        </w:rPr>
        <w:t xml:space="preserve">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r>
        <w:t>))</w:t>
      </w:r>
    </w:p>
    <w:p>
      <w:pPr>
        <w:spacing w:before="0" w:after="0" w:line="408" w:lineRule="exact"/>
        <w:ind w:left="0" w:right="0" w:firstLine="576"/>
        <w:jc w:val="left"/>
      </w:pPr>
      <w:r>
        <w:rPr/>
        <w:t xml:space="preserve">(2) Under RCW 28A.655.061, beginning in the 2006-07 school year </w:t>
      </w:r>
      <w:r>
        <w:rPr>
          <w:u w:val="single"/>
        </w:rPr>
        <w:t xml:space="preserve">and through the 2018-19 school year</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w:t>
      </w:r>
      <w:r>
        <w:t>((</w:t>
      </w:r>
      <w:r>
        <w:rPr>
          <w:strike/>
        </w:rPr>
        <w:t xml:space="preserve">, 2015, 2016, 2017, and 2018</w:t>
      </w:r>
      <w:r>
        <w:t>))</w:t>
      </w:r>
      <w:r>
        <w:rPr/>
        <w:t xml:space="preserve"> </w:t>
      </w:r>
      <w:r>
        <w:rPr>
          <w:u w:val="single"/>
        </w:rPr>
        <w:t xml:space="preserve">through 2019</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w:t>
      </w:r>
      <w:r>
        <w:t>((</w:t>
      </w:r>
      <w:r>
        <w:rPr>
          <w:strike/>
        </w:rPr>
        <w:t xml:space="preserve">or</w:t>
      </w:r>
      <w:r>
        <w:t>))</w:t>
      </w:r>
      <w:r>
        <w:rPr/>
        <w:t xml:space="preserve"> 2017</w:t>
      </w:r>
      <w:r>
        <w:rPr>
          <w:u w:val="single"/>
        </w:rPr>
        <w:t xml:space="preserve">, 2018, or 2019</w:t>
      </w:r>
      <w:r>
        <w:rPr/>
        <w:t xml:space="preserve">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only applies to students in the graduating class of 2019 and prior. This section no longer applies beginning with the graduating class of 2020.</w:t>
      </w:r>
    </w:p>
    <w:p>
      <w:pPr>
        <w:spacing w:before="0" w:after="0" w:line="408" w:lineRule="exact"/>
        <w:ind w:left="0" w:right="0" w:firstLine="576"/>
        <w:jc w:val="left"/>
      </w:pPr>
      <w:r>
        <w:rPr>
          <w:u w:val="single"/>
        </w:rPr>
        <w:t xml:space="preserve">(9)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w:t>
      </w:r>
      <w:r>
        <w:rPr>
          <w:u w:val="single"/>
        </w:rPr>
        <w:t xml:space="preserve">and section 20 of this act</w:t>
      </w:r>
      <w:r>
        <w:rPr/>
        <w:t xml:space="preserve">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Ending with the class of 2019,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w:t>
      </w:r>
      <w:r>
        <w:t>((</w:t>
      </w:r>
      <w:r>
        <w:rPr>
          <w:strike/>
        </w:rPr>
        <w:t xml:space="preserve">Effective with the graduating class of 2015,</w:t>
      </w:r>
      <w:r>
        <w:t>))</w:t>
      </w:r>
      <w:r>
        <w:rPr/>
        <w:t xml:space="preserve"> </w:t>
      </w:r>
      <w:r>
        <w:rPr>
          <w:u w:val="single"/>
        </w:rPr>
        <w:t xml:space="preserve">T</w:t>
      </w:r>
      <w:r>
        <w:rPr/>
        <w:t xml:space="preserve">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individual student</w:t>
      </w:r>
      <w:r>
        <w:rPr/>
        <w:t xml:space="preserve"> circumstances </w:t>
      </w:r>
      <w:r>
        <w:t>((</w:t>
      </w:r>
      <w:r>
        <w:rPr>
          <w:strike/>
        </w:rPr>
        <w:t xml:space="preserve">and in accordance with</w:t>
      </w:r>
      <w:r>
        <w:t>))</w:t>
      </w:r>
      <w:r>
        <w:rPr>
          <w:u w:val="single"/>
        </w:rPr>
        <w:t xml:space="preserve">, so long as none of the credits waived are identified as mandatory core credits by the state board of education. School districts must adhere to</w:t>
      </w:r>
      <w:r>
        <w:rPr/>
        <w:t xml:space="preserve">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The state board of education may update rules under this subsection (1)(e)(i) as needed.</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 requested by the</w:t>
      </w:r>
      <w:r>
        <w:t>))</w:t>
      </w:r>
      <w:r>
        <w:rPr/>
        <w:t xml:space="preserve"> </w:t>
      </w:r>
      <w:r>
        <w:rPr>
          <w:u w:val="single"/>
        </w:rPr>
        <w:t xml:space="preserve">(a) Unless a</w:t>
      </w:r>
      <w:r>
        <w:rPr/>
        <w:t xml:space="preserve"> student and his or her </w:t>
      </w:r>
      <w:r>
        <w:t>((</w:t>
      </w:r>
      <w:r>
        <w:rPr>
          <w:strike/>
        </w:rPr>
        <w:t xml:space="preserve">family</w:t>
      </w:r>
      <w:r>
        <w:t>))</w:t>
      </w:r>
      <w:r>
        <w:rPr/>
        <w:t xml:space="preserve"> </w:t>
      </w:r>
      <w:r>
        <w:rPr>
          <w:u w:val="single"/>
        </w:rPr>
        <w:t xml:space="preserve">parents or guardians request otherwise</w:t>
      </w:r>
      <w:r>
        <w:rPr/>
        <w:t xml:space="preserve">,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u w:val="single"/>
        </w:rPr>
        <w:t xml:space="preserve">(b) The school district's transcript policy governs the incorporation of credits under this subsection.</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t>((</w:t>
      </w:r>
      <w:r>
        <w:rPr>
          <w:strike/>
        </w:rPr>
        <w:t xml:space="preserve">Beginning with</w:t>
      </w:r>
      <w:r>
        <w:t>))</w:t>
      </w:r>
      <w:r>
        <w:rPr/>
        <w:t xml:space="preserve"> </w:t>
      </w:r>
      <w:r>
        <w:rPr>
          <w:u w:val="single"/>
        </w:rPr>
        <w:t xml:space="preserve">Through</w:t>
      </w:r>
      <w:r>
        <w:rPr/>
        <w:t xml:space="preserve"> the </w:t>
      </w:r>
      <w:r>
        <w:t>((</w:t>
      </w:r>
      <w:r>
        <w:rPr>
          <w:strike/>
        </w:rPr>
        <w:t xml:space="preserve">graduating</w:t>
      </w:r>
      <w:r>
        <w:t>))</w:t>
      </w:r>
      <w:r>
        <w:rPr/>
        <w:t xml:space="preserve"> class of </w:t>
      </w:r>
      <w:r>
        <w:t>((</w:t>
      </w:r>
      <w:r>
        <w:rPr>
          <w:strike/>
        </w:rPr>
        <w:t xml:space="preserve">2008</w:t>
      </w:r>
      <w:r>
        <w:t>))</w:t>
      </w:r>
      <w:r>
        <w:rPr/>
        <w:t xml:space="preserve"> </w:t>
      </w:r>
      <w:r>
        <w:rPr>
          <w:u w:val="single"/>
        </w:rPr>
        <w:t xml:space="preserve">2021</w:t>
      </w:r>
      <w:r>
        <w:rPr/>
        <w:t xml:space="preserve">, students served under this chapter, who are not appropriately </w:t>
      </w:r>
      <w:r>
        <w:t>((</w:t>
      </w:r>
      <w:r>
        <w:rPr>
          <w:strike/>
        </w:rPr>
        <w:t xml:space="preserve">assessed by the high school Washington assessment system as defined in RCW 28A.655.061</w:t>
      </w:r>
      <w:r>
        <w:t>))</w:t>
      </w:r>
      <w:r>
        <w:rPr/>
        <w:t xml:space="preserve"> </w:t>
      </w:r>
      <w:r>
        <w:rPr>
          <w:u w:val="single"/>
        </w:rPr>
        <w:t xml:space="preserve">served by the other pathways to graduation as provided under section 20 of this act</w:t>
      </w:r>
      <w:r>
        <w:rPr/>
        <w:t xml:space="preserve">, even with accommodations, may </w:t>
      </w:r>
      <w:r>
        <w:t>((</w:t>
      </w:r>
      <w:r>
        <w:rPr>
          <w:strike/>
        </w:rPr>
        <w:t xml:space="preserve">earn a certificate of individual achievement. The certificate may be earned</w:t>
      </w:r>
      <w:r>
        <w:t>))</w:t>
      </w:r>
      <w:r>
        <w:rPr/>
        <w:t xml:space="preserve"> </w:t>
      </w:r>
      <w:r>
        <w:rPr>
          <w:u w:val="single"/>
        </w:rPr>
        <w:t xml:space="preserve">graduate</w:t>
      </w:r>
      <w:r>
        <w:rPr/>
        <w:t xml:space="preserve"> using </w:t>
      </w:r>
      <w:r>
        <w:rPr>
          <w:u w:val="single"/>
        </w:rPr>
        <w:t xml:space="preserve">one of the</w:t>
      </w:r>
      <w:r>
        <w:rPr/>
        <w:t xml:space="preserve"> multiple </w:t>
      </w:r>
      <w:r>
        <w:t>((</w:t>
      </w:r>
      <w:r>
        <w:rPr>
          <w:strike/>
        </w:rPr>
        <w:t xml:space="preserve">ways</w:t>
      </w:r>
      <w:r>
        <w:t>))</w:t>
      </w:r>
      <w:r>
        <w:rPr/>
        <w:t xml:space="preserve"> </w:t>
      </w:r>
      <w:r>
        <w:rPr>
          <w:u w:val="single"/>
        </w:rPr>
        <w:t xml:space="preserve">measures previously used as a way to earn the certificate of individual achievement and</w:t>
      </w:r>
      <w:r>
        <w:rPr/>
        <w:t xml:space="preserve"> to demonstrate skills and abilities commensurate with their individual education programs. The determination of whether the </w:t>
      </w:r>
      <w:r>
        <w:t>((</w:t>
      </w:r>
      <w:r>
        <w:rPr>
          <w:strike/>
        </w:rPr>
        <w:t xml:space="preserve">high school assessment system is</w:t>
      </w:r>
      <w:r>
        <w:t>))</w:t>
      </w:r>
      <w:r>
        <w:rPr/>
        <w:t xml:space="preserve"> </w:t>
      </w:r>
      <w:r>
        <w:rPr>
          <w:u w:val="single"/>
        </w:rPr>
        <w:t xml:space="preserve">other pathways under section 20 of this act or the measures identified in this section are</w:t>
      </w:r>
      <w:r>
        <w:rPr/>
        <w:t xml:space="preserve">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 When measures other than the high school assessment system as defined in RCW 28A.655.061 are used,</w:t>
      </w:r>
      <w:r>
        <w:t>))</w:t>
      </w:r>
      <w:r>
        <w:rPr/>
        <w:t xml:space="preserve"> </w:t>
      </w:r>
      <w:r>
        <w:rPr>
          <w:u w:val="single"/>
        </w:rPr>
        <w:t xml:space="preserve">T</w:t>
      </w:r>
      <w:r>
        <w:rPr/>
        <w:t xml:space="preserve">he measures </w:t>
      </w:r>
      <w:r>
        <w:rPr>
          <w:u w:val="single"/>
        </w:rPr>
        <w:t xml:space="preserve">used to demonstrate skills and abilities of students under this section</w:t>
      </w:r>
      <w:r>
        <w:rPr/>
        <w:t xml:space="preserve"> shall be in agreement with the appropriate educational opportunity provided for the student as required by this chapter. The superintendent of public instruction shall develop the guidelines for determining </w:t>
      </w:r>
      <w:r>
        <w:t>((</w:t>
      </w:r>
      <w:r>
        <w:rPr>
          <w:strike/>
        </w:rPr>
        <w:t xml:space="preserve">which students should not be required to participate in the high school assessment system and</w:t>
      </w:r>
      <w:r>
        <w:t>))</w:t>
      </w:r>
      <w:r>
        <w:rPr/>
        <w:t xml:space="preserve"> which types of assessments are appropriate to use.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w:t>
      </w:r>
      <w:r>
        <w:t>((</w:t>
      </w:r>
      <w:r>
        <w:rPr>
          <w:strike/>
        </w:rPr>
        <w:t xml:space="preserve">high school assessment system as defined in RCW 28A.655.061</w:t>
      </w:r>
      <w:r>
        <w:t>))</w:t>
      </w:r>
      <w:r>
        <w:rPr/>
        <w:t xml:space="preserve"> </w:t>
      </w:r>
      <w:r>
        <w:rPr>
          <w:u w:val="single"/>
        </w:rPr>
        <w:t xml:space="preserve">pathways under section 20 of this act</w:t>
      </w:r>
      <w:r>
        <w:rPr/>
        <w:t xml:space="preserve">, and, upon successfully meeting the high school standard, receipt of the certificate of academic achievement.</w:t>
      </w:r>
    </w:p>
    <w:p>
      <w:pPr>
        <w:spacing w:before="0" w:after="0" w:line="408" w:lineRule="exact"/>
        <w:ind w:left="0" w:right="0" w:firstLine="576"/>
        <w:jc w:val="left"/>
      </w:pPr>
      <w:r>
        <w:rPr>
          <w:u w:val="single"/>
        </w:rPr>
        <w:t xml:space="preserve">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w:t>
      </w:r>
      <w:r>
        <w:rPr>
          <w:u w:val="single"/>
        </w:rPr>
        <w:t xml:space="preserve">Through the graduating class of 2019, t</w:t>
      </w:r>
      <w:r>
        <w:rPr/>
        <w:t xml:space="preserve">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w:t>
      </w:r>
      <w:r>
        <w:rPr>
          <w:u w:val="single"/>
        </w:rPr>
        <w:t xml:space="preserve">and only through the graduating class of 2019,</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w:t>
      </w:r>
      <w:r>
        <w:rPr>
          <w:u w:val="single"/>
        </w:rPr>
        <w:t xml:space="preserve">met the requirements of the pathway to graduation identified in section 20(2)(c)(iv) and to have</w:t>
      </w:r>
      <w:r>
        <w:rPr/>
        <w:t xml:space="preser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w:t>
      </w:r>
      <w:r>
        <w:t>((</w:t>
      </w:r>
      <w:r>
        <w:rPr>
          <w:strike/>
        </w:rPr>
        <w:t xml:space="preserve">2011-12</w:t>
      </w:r>
      <w:r>
        <w:t>))</w:t>
      </w:r>
      <w:r>
        <w:rPr/>
        <w:t xml:space="preserve"> </w:t>
      </w:r>
      <w:r>
        <w:rPr>
          <w:u w:val="single"/>
        </w:rPr>
        <w:t xml:space="preserve">2017-18</w:t>
      </w:r>
      <w:r>
        <w:rPr/>
        <w:t xml:space="preserve"> school year, the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spaces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p>
    <w:p>
      <w:pPr>
        <w:spacing w:before="0" w:after="0" w:line="408" w:lineRule="exact"/>
        <w:ind w:left="0" w:right="0" w:firstLine="576"/>
        <w:jc w:val="left"/>
      </w:pPr>
      <w:r>
        <w:rPr>
          <w:u w:val="single"/>
        </w:rPr>
        <w:t xml:space="preserve">(d) The statewide academic assessment system must include assessments based on alternate achievement standards that are developed for students with significant cognitive challenges.</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w:t>
      </w:r>
      <w:r>
        <w:t>((</w:t>
      </w:r>
      <w:r>
        <w:rPr>
          <w:strike/>
        </w:rPr>
        <w:t xml:space="preserve">By September 2007,</w:t>
      </w:r>
      <w:r>
        <w:t>))</w:t>
      </w:r>
      <w:r>
        <w:rPr/>
        <w:t xml:space="preserve"> </w:t>
      </w:r>
      <w:r>
        <w:rPr>
          <w:u w:val="single"/>
        </w:rPr>
        <w:t xml:space="preserve">T</w:t>
      </w:r>
      <w:r>
        <w:rPr/>
        <w:t xml:space="preserve">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(1)(a) The legislature intends to continue providing students with the opportunity to access a challenging learning environment and a meaningful diploma that supports every student in achieving whatever his or her individualized college or career goals are. Over the last decade, the legislature has implemented numerous reforms that have significantly strengthened our educational system, including increased course requirements and more challenging learning standards. Despite ongoing efforts to create an educational system focused on individualized student learning that is cultural responsive to the needs of our diverse student population, we continue to rely on a high-stakes test as a single barrier to graduation. This does not support the legislature's goal. The legislature recognizes that research shows that high-stakes testing is a one-size-fits-all approach that does not improve student achievement or increase graduation rates. The negative impacts of high-stakes testing often disproportionately affect our state's most vulnerable students.</w:t>
      </w:r>
    </w:p>
    <w:p>
      <w:pPr>
        <w:spacing w:before="0" w:after="0" w:line="408" w:lineRule="exact"/>
        <w:ind w:left="0" w:right="0" w:firstLine="576"/>
        <w:jc w:val="left"/>
      </w:pPr>
      <w:r>
        <w:rPr/>
        <w:t xml:space="preserve">(b) The legislature recognizes that to truly have an education system that supports student-focused learning and is responsive to the needs of each student, we must provide a system that allows each student to work with his or her teachers, parents, and counselors to identify the best way to demonstrate readiness to pursue his or her career or college goals. The legislature further recognizes that student-focused graduation pathways must be adaptable and allow students to change pathways as their goals shift. While standardized tests may be one option chosen by some students to show academic success, it should not be the only option for students to choose from. The legislature therefore intends to create a system of multiple pathways to graduation that each student may choose from in order to tailor the student's educational experience in a way that supports his or her individual goals for high school and beyond.</w:t>
      </w:r>
    </w:p>
    <w:p>
      <w:pPr>
        <w:spacing w:before="0" w:after="0" w:line="408" w:lineRule="exact"/>
        <w:ind w:left="0" w:right="0" w:firstLine="576"/>
        <w:jc w:val="left"/>
      </w:pPr>
      <w:r>
        <w:rPr/>
        <w:t xml:space="preserve">(2) Beginning with the class of 2020, in addition to the graduation requirements established by the state board of education under RCW 28A.230.090 or by local high schools or school districts, a student shall, at minimum, meet the requirements of (a) and (b) of this subsection and at least one of the pathways provided in (c) of this subsection in order to obtain a high school diploma. The options under (c) of this subsection are intended to provide a student with multiple pathways to graduating with a meaningful high school diploma that are tailored to the goals of the student. A student may choose to pursue one or more of the pathways under (c) of this subsection.</w:t>
      </w:r>
    </w:p>
    <w:p>
      <w:pPr>
        <w:spacing w:before="0" w:after="0" w:line="408" w:lineRule="exact"/>
        <w:ind w:left="0" w:right="0" w:firstLine="576"/>
        <w:jc w:val="left"/>
      </w:pPr>
      <w:r>
        <w:rPr/>
        <w:t xml:space="preserve">(a) Demonstrate career and college readiness through successful completion of the high school and beyond plan, as described in RCW 28A.230.090.</w:t>
      </w:r>
    </w:p>
    <w:p>
      <w:pPr>
        <w:spacing w:before="0" w:after="0" w:line="408" w:lineRule="exact"/>
        <w:ind w:left="0" w:right="0" w:firstLine="576"/>
        <w:jc w:val="left"/>
      </w:pPr>
      <w:r>
        <w:rPr/>
        <w:t xml:space="preserve">(b) Earn required credits towards graduation.</w:t>
      </w:r>
    </w:p>
    <w:p>
      <w:pPr>
        <w:spacing w:before="0" w:after="0" w:line="408" w:lineRule="exact"/>
        <w:ind w:left="0" w:right="0" w:firstLine="576"/>
        <w:jc w:val="left"/>
      </w:pPr>
      <w:r>
        <w:rPr/>
        <w:t xml:space="preserve">(c) Successfully complete one or more of the following pathways:</w:t>
      </w:r>
    </w:p>
    <w:p>
      <w:pPr>
        <w:spacing w:before="0" w:after="0" w:line="408" w:lineRule="exact"/>
        <w:ind w:left="0" w:right="0" w:firstLine="576"/>
        <w:jc w:val="left"/>
      </w:pPr>
      <w:r>
        <w:rPr/>
        <w:t xml:space="preserve">(i) Meet or exceed the graduation standard on the high school assessments in English language arts and mathematics as provided for under RCW 28A.655.070. The state board of education shall establish the high school graduation cut score for the tenth grade statewide student assessments in English language arts and mathematics;</w:t>
      </w:r>
    </w:p>
    <w:p>
      <w:pPr>
        <w:spacing w:before="0" w:after="0" w:line="408" w:lineRule="exact"/>
        <w:ind w:left="0" w:right="0" w:firstLine="576"/>
        <w:jc w:val="left"/>
      </w:pPr>
      <w:r>
        <w:rPr/>
        <w:t xml:space="preserve">(ii) Complete and earn college credit in dual credit courses in English language arts and mathematics. For the purposes of this subsection, "a dual credit course" means a course in which a student earns college credit and high school credit in English language arts or mathematics;</w:t>
      </w:r>
    </w:p>
    <w:p>
      <w:pPr>
        <w:spacing w:before="0" w:after="0" w:line="408" w:lineRule="exact"/>
        <w:ind w:left="0" w:right="0" w:firstLine="576"/>
        <w:jc w:val="left"/>
      </w:pPr>
      <w:r>
        <w:rPr/>
        <w:t xml:space="preserve">(iii) Earn high school credit in a high school transition course in English language arts and mathematics, such as bridge to college courses. For the purposes of this subsection,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(iv) Meet or exceed the scores comparable in rigor to the graduation cut score set by the state board of education on advanced placement, international baccalaureate, or Cambridge international exams in English language arts and mathematics;</w:t>
      </w:r>
    </w:p>
    <w:p>
      <w:pPr>
        <w:spacing w:before="0" w:after="0" w:line="408" w:lineRule="exact"/>
        <w:ind w:left="0" w:right="0" w:firstLine="576"/>
        <w:jc w:val="left"/>
      </w:pPr>
      <w:r>
        <w:rPr/>
        <w:t xml:space="preserve">(v) Meet or exceed the scores set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the English language arts and mathematics portions of (i) through (v) of this subsection;</w:t>
      </w:r>
    </w:p>
    <w:p>
      <w:pPr>
        <w:spacing w:before="0" w:after="0" w:line="408" w:lineRule="exact"/>
        <w:ind w:left="0" w:right="0" w:firstLine="576"/>
        <w:jc w:val="left"/>
      </w:pPr>
      <w:r>
        <w:rPr/>
        <w:t xml:space="preserve">(vii) Meet standard in the armed services vocational aptitude battery;</w:t>
      </w:r>
    </w:p>
    <w:p>
      <w:pPr>
        <w:spacing w:before="0" w:after="0" w:line="408" w:lineRule="exact"/>
        <w:ind w:left="0" w:right="0" w:firstLine="576"/>
        <w:jc w:val="left"/>
      </w:pPr>
      <w:r>
        <w:rPr/>
        <w:t xml:space="preserve">(viii) Complete a sequence of career and technical education courses, including those leading to workforce entry, state or nationally approved apprenticeships, or postsecondary education, that meet the minimum criteria identified in RCW 28A.700.030. However, nothing in this section requires that a student must enroll in a preparatory course that is approved under RCW 28A.700.030 for the purposes of meeting the graduation requirements under this section;</w:t>
      </w:r>
    </w:p>
    <w:p>
      <w:pPr>
        <w:spacing w:before="0" w:after="0" w:line="408" w:lineRule="exact"/>
        <w:ind w:left="0" w:right="0" w:firstLine="576"/>
        <w:jc w:val="left"/>
      </w:pPr>
      <w:r>
        <w:rPr/>
        <w:t xml:space="preserve">(ix) Ending with the class of 2021, for students eligible under chapter 28A.155 RCW, earn a certificate of individual achievement under RCW 28A.155.045.</w:t>
      </w:r>
    </w:p>
    <w:p>
      <w:pPr>
        <w:spacing w:before="0" w:after="0" w:line="408" w:lineRule="exact"/>
        <w:ind w:left="0" w:right="0" w:firstLine="576"/>
        <w:jc w:val="left"/>
      </w:pPr>
      <w:r>
        <w:rPr/>
        <w:t xml:space="preserve">(3) For the pathway under subsection (2)(c)(vii) of this section, the office of the superintendent of public instruction shall adopt in rule what is considered meeting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in whichever graduation pathway the student chooses, each school district shall:</w:t>
      </w:r>
    </w:p>
    <w:p>
      <w:pPr>
        <w:spacing w:before="0" w:after="0" w:line="408" w:lineRule="exact"/>
        <w:ind w:left="0" w:right="0" w:firstLine="576"/>
        <w:jc w:val="left"/>
      </w:pPr>
      <w:r>
        <w:rPr/>
        <w:t xml:space="preserve">(1) Provide students who did not meet or exceed standard on the high school assessments in English language arts or mathematics as provided for under RCW 28A.655.070 with the opportunity to access interventions and academic supports, courses, or both, designed to support students in meeting high school graduation requirements.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under RCW 28A.230.097; and</w:t>
      </w:r>
    </w:p>
    <w:p>
      <w:pPr>
        <w:spacing w:before="0" w:after="0" w:line="408" w:lineRule="exact"/>
        <w:ind w:left="0" w:right="0" w:firstLine="576"/>
        <w:jc w:val="left"/>
      </w:pPr>
      <w:r>
        <w:rPr/>
        <w:t xml:space="preserve">(2)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are not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student learning plan into the primary language of the family. The student learning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the student needs to take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(i) Available programs offered through skill centers or community and technical colleges, including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345</w:t>
      </w:r>
      <w:r>
        <w:rPr/>
        <w:t xml:space="preserve">.</w:t>
      </w:r>
      <w:r>
        <w:t xml:space="preserve">080</w:t>
      </w:r>
      <w:r>
        <w:rPr/>
        <w:t xml:space="preserve"> (Model policy and procedure for granting waivers of credit for high school graduation) and 2014 c 217 s 203; and</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January 1, 2020.</w:t>
      </w:r>
    </w:p>
    <w:p/>
    <w:p>
      <w:pPr>
        <w:jc w:val="center"/>
      </w:pPr>
      <w:r>
        <w:rPr>
          <w:b/>
        </w:rPr>
        <w:t>--- END ---</w:t>
      </w:r>
    </w:p>
    <w:sectPr>
      <w:pgNumType w:start="1"/>
      <w:footerReference xmlns:r="http://schemas.openxmlformats.org/officeDocument/2006/relationships" r:id="R264a752658104a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2ea849c974cac" /><Relationship Type="http://schemas.openxmlformats.org/officeDocument/2006/relationships/footer" Target="/word/footer1.xml" Id="R264a752658104a05" /></Relationships>
</file>