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2ef5ed64542bb" /></Relationships>
</file>

<file path=word/document.xml><?xml version="1.0" encoding="utf-8"?>
<w:document xmlns:w="http://schemas.openxmlformats.org/wordprocessingml/2006/main">
  <w:body>
    <w:p>
      <w:r>
        <w:t>S-3157.1</w:t>
      </w:r>
    </w:p>
    <w:p>
      <w:pPr>
        <w:jc w:val="center"/>
      </w:pPr>
      <w:r>
        <w:t>_______________________________________________</w:t>
      </w:r>
    </w:p>
    <w:p/>
    <w:p>
      <w:pPr>
        <w:jc w:val="center"/>
      </w:pPr>
      <w:r>
        <w:rPr>
          <w:b/>
        </w:rPr>
        <w:t>SECOND SUBSTITUTE SENATE BILL 5549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Liias, King, Hunt, and Braun)</w:t>
      </w:r>
    </w:p>
    <w:p/>
    <w:p>
      <w:r>
        <w:rPr>
          <w:t xml:space="preserve">READ FIRST TIME 03/25/19.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reenacting and amending RCW 42.56.270; adding new sections to chapter 66.24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Except for an event in which a private party has secured a private banquet permit,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Except for an event in which a private party has secured a private banquet permit,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4 of this act, RCW 66.24.140, 66.24.145, 66.28.040, 66.24.630, and 66.28.310.</w:t>
      </w:r>
    </w:p>
    <w:p>
      <w:pPr>
        <w:spacing w:before="0" w:after="0" w:line="408" w:lineRule="exact"/>
        <w:ind w:left="0" w:right="0" w:firstLine="576"/>
        <w:jc w:val="left"/>
      </w:pPr>
      <w:r>
        <w:rPr/>
        <w:t xml:space="preserve">(2)(a) Except for an event in which a private party has secured a private banquet permit, after 9:00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c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e3b382813412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6f264e6ff48d1" /><Relationship Type="http://schemas.openxmlformats.org/officeDocument/2006/relationships/footer" Target="/word/footer1.xml" Id="Re3b3828134124d42" /></Relationships>
</file>