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8e6b391bd34e5e" /></Relationships>
</file>

<file path=word/document.xml><?xml version="1.0" encoding="utf-8"?>
<w:document xmlns:w="http://schemas.openxmlformats.org/wordprocessingml/2006/main">
  <w:body>
    <w:p>
      <w:r>
        <w:t>S-0153.1</w:t>
      </w:r>
    </w:p>
    <w:p>
      <w:pPr>
        <w:jc w:val="center"/>
      </w:pPr>
      <w:r>
        <w:t>_______________________________________________</w:t>
      </w:r>
    </w:p>
    <w:p/>
    <w:p>
      <w:pPr>
        <w:jc w:val="center"/>
      </w:pPr>
      <w:r>
        <w:rPr>
          <w:b/>
        </w:rPr>
        <w:t>SENATE BILL 5634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Brown, Becker, and Schoesler</w:t>
      </w:r>
    </w:p>
    <w:p/>
    <w:p>
      <w:r>
        <w:rPr>
          <w:t xml:space="preserve">Read first time 01/25/19.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and amending RCW 19.27.074.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permanent and temporary staff and contract for services;</w:t>
      </w:r>
    </w:p>
    <w:p>
      <w:pPr>
        <w:spacing w:before="0" w:after="0" w:line="408" w:lineRule="exact"/>
        <w:ind w:left="0" w:right="0" w:firstLine="576"/>
        <w:jc w:val="left"/>
      </w:pPr>
      <w:r>
        <w:rPr/>
        <w:t xml:space="preserve">(b) Contract with an independent, third-party entity to perform a Washington energy code baseline economic analysis and economic analysis of code proposals;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(c) All decisions to adopt or amend codes of statewide application shall be made prior to December 1</w:t>
      </w:r>
      <w:r>
        <w:rPr>
          <w:u w:val="single"/>
        </w:rPr>
        <w:t xml:space="preserve">st</w:t>
      </w:r>
      <w:r>
        <w:rPr/>
        <w:t xml:space="preserve"> of </w:t>
      </w:r>
      <w:r>
        <w:t>((</w:t>
      </w:r>
      <w:r>
        <w:rPr>
          <w:strike/>
        </w:rPr>
        <w:t xml:space="preserve">any</w:t>
      </w:r>
      <w:r>
        <w:t>))</w:t>
      </w:r>
      <w:r>
        <w:rPr/>
        <w:t xml:space="preserve"> </w:t>
      </w:r>
      <w:r>
        <w:rPr>
          <w:u w:val="single"/>
        </w:rPr>
        <w:t xml:space="preserve">every fifth</w:t>
      </w:r>
      <w:r>
        <w:rPr/>
        <w:t xml:space="preserve"> year </w:t>
      </w:r>
      <w:r>
        <w:rPr>
          <w:u w:val="single"/>
        </w:rPr>
        <w:t xml:space="preserve">beginning in 2020</w:t>
      </w:r>
      <w:r>
        <w:rPr/>
        <w:t xml:space="preserve"> and shall not take effect before the end of the regular legislative session in the next year.</w:t>
      </w:r>
    </w:p>
    <w:p/>
    <w:p>
      <w:pPr>
        <w:jc w:val="center"/>
      </w:pPr>
      <w:r>
        <w:rPr>
          <w:b/>
        </w:rPr>
        <w:t>--- END ---</w:t>
      </w:r>
    </w:p>
    <w:sectPr>
      <w:pgNumType w:start="1"/>
      <w:footerReference xmlns:r="http://schemas.openxmlformats.org/officeDocument/2006/relationships" r:id="R6ca93ab548e2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1dce74a954298" /><Relationship Type="http://schemas.openxmlformats.org/officeDocument/2006/relationships/footer" Target="/word/footer1.xml" Id="R6ca93ab548e2425f" /></Relationships>
</file>