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69680452340f2" /></Relationships>
</file>

<file path=word/document.xml><?xml version="1.0" encoding="utf-8"?>
<w:document xmlns:w="http://schemas.openxmlformats.org/wordprocessingml/2006/main">
  <w:body>
    <w:p>
      <w:r>
        <w:t>S-5761.1</w:t>
      </w:r>
    </w:p>
    <w:p>
      <w:pPr>
        <w:jc w:val="center"/>
      </w:pPr>
      <w:r>
        <w:t>_______________________________________________</w:t>
      </w:r>
    </w:p>
    <w:p/>
    <w:p>
      <w:pPr>
        <w:jc w:val="center"/>
      </w:pPr>
      <w:r>
        <w:rPr>
          <w:b/>
        </w:rPr>
        <w:t>SUBSTITUTE SENATE BILL 5679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Hasegawa, Conway, and Darneille)</w:t>
      </w:r>
    </w:p>
    <w:p/>
    <w:p>
      <w:r>
        <w:rPr>
          <w:t xml:space="preserve">READ FIRST TIME 01/29/20.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and concentrations of persons of color; and amending RCW 35.21.970.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970</w:t>
      </w:r>
      <w:r>
        <w:rPr/>
        <w:t xml:space="preserve"> and 2019 c 375 s 1 are each amended to read as follows:</w:t>
      </w:r>
    </w:p>
    <w:p>
      <w:pPr>
        <w:spacing w:before="0" w:after="0" w:line="408" w:lineRule="exact"/>
        <w:ind w:left="0" w:right="0" w:firstLine="576"/>
        <w:jc w:val="left"/>
      </w:pPr>
      <w:r>
        <w:rPr/>
        <w:t xml:space="preserve">(1) A city with a population of more than five hundred fifty thousand that permits a public facility to be constructed or operated by another local government agency, transit authority, or public facility district in a neighborhood with a high poverty level and a high rate of ethnic diversity </w:t>
      </w:r>
      <w:r>
        <w:t>((</w:t>
      </w:r>
      <w:r>
        <w:rPr>
          <w:strike/>
        </w:rPr>
        <w:t xml:space="preserve">shall formally request that the entity that is constructing or is operating the public facility assess and mitigate the negative impacts that the facility has had on parking in the surrounding neighborhood</w:t>
      </w:r>
      <w:r>
        <w:t>))</w:t>
      </w:r>
      <w:r>
        <w:rPr/>
        <w:t xml:space="preserve"> </w:t>
      </w:r>
      <w:r>
        <w:rPr>
          <w:u w:val="single"/>
        </w:rPr>
        <w:t xml:space="preserve">must assume the responsibility for the negative impacts that facility has had or might have on the surrounding neighborhood</w:t>
      </w:r>
      <w:r>
        <w:rPr/>
        <w:t xml:space="preserve">. The </w:t>
      </w:r>
      <w:r>
        <w:t>((</w:t>
      </w:r>
      <w:r>
        <w:rPr>
          <w:strike/>
        </w:rPr>
        <w:t xml:space="preserve">entity operating or constructing the facility</w:t>
      </w:r>
      <w:r>
        <w:t>))</w:t>
      </w:r>
      <w:r>
        <w:rPr/>
        <w:t xml:space="preserve"> </w:t>
      </w:r>
      <w:r>
        <w:rPr>
          <w:u w:val="single"/>
        </w:rPr>
        <w:t xml:space="preserve">city</w:t>
      </w:r>
      <w:r>
        <w:rPr/>
        <w:t xml:space="preserve"> must consider the potential or actual disparate racial, social, and economic impacts of the public facility on residents nearby and develop a mitigation plan, </w:t>
      </w:r>
      <w:r>
        <w:rPr>
          <w:u w:val="single"/>
        </w:rPr>
        <w:t xml:space="preserve">subject to the requirements of subsection (2) of this section,</w:t>
      </w:r>
      <w:r>
        <w:rPr/>
        <w:t xml:space="preserve"> which keeps the residents of the impacted neighborhood whole for the costs of the mitigation strategy, including paying for the costs of any residential parking zone necessitated by the facility causing the impact. The </w:t>
      </w:r>
      <w:r>
        <w:t>((</w:t>
      </w:r>
      <w:r>
        <w:rPr>
          <w:strike/>
        </w:rPr>
        <w:t xml:space="preserve">entity operating or constructing the facility</w:t>
      </w:r>
      <w:r>
        <w:t>))</w:t>
      </w:r>
      <w:r>
        <w:rPr/>
        <w:t xml:space="preserve"> </w:t>
      </w:r>
      <w:r>
        <w:rPr>
          <w:u w:val="single"/>
        </w:rPr>
        <w:t xml:space="preserve">city</w:t>
      </w:r>
      <w:r>
        <w:rPr/>
        <w:t xml:space="preserve">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w:t>
      </w:r>
      <w:r>
        <w:rPr>
          <w:u w:val="single"/>
        </w:rPr>
        <w:t xml:space="preserve">The mitigation plan is subject to the following requirements:</w:t>
      </w:r>
    </w:p>
    <w:p>
      <w:pPr>
        <w:spacing w:before="0" w:after="0" w:line="408" w:lineRule="exact"/>
        <w:ind w:left="0" w:right="0" w:firstLine="576"/>
        <w:jc w:val="left"/>
      </w:pPr>
      <w:r>
        <w:rPr>
          <w:u w:val="single"/>
        </w:rPr>
        <w:t xml:space="preserve">(a) The city must fully reimburse residents for the costs of any permits, charges, or any other costs of the mitigation strategy, including costs of any residential parking zone necessitated by the facility causing the impact;</w:t>
      </w:r>
    </w:p>
    <w:p>
      <w:pPr>
        <w:spacing w:before="0" w:after="0" w:line="408" w:lineRule="exact"/>
        <w:ind w:left="0" w:right="0" w:firstLine="576"/>
        <w:jc w:val="left"/>
      </w:pPr>
      <w:r>
        <w:rPr>
          <w:u w:val="single"/>
        </w:rPr>
        <w:t xml:space="preserve">(b) The city may not add, increase, or establish any other fees or costs to be incurred by the residents to mitigate the negative impacts that the facility has had or might have on the surrounding neighborhood; and</w:t>
      </w:r>
    </w:p>
    <w:p>
      <w:pPr>
        <w:spacing w:before="0" w:after="0" w:line="408" w:lineRule="exact"/>
        <w:ind w:left="0" w:right="0" w:firstLine="576"/>
        <w:jc w:val="left"/>
      </w:pPr>
      <w:r>
        <w:rPr>
          <w:u w:val="single"/>
        </w:rPr>
        <w:t xml:space="preserve">(c) Any established residential parking zone necessitated by the facility causing the impact must be maintained in its current form, including the issuance of new permits as provided under the existing program.</w:t>
      </w:r>
    </w:p>
    <w:p>
      <w:pPr>
        <w:spacing w:before="0" w:after="0" w:line="408" w:lineRule="exact"/>
        <w:ind w:left="0" w:right="0" w:firstLine="576"/>
        <w:jc w:val="left"/>
      </w:pPr>
      <w:r>
        <w:rPr>
          <w:u w:val="single"/>
        </w:rPr>
        <w:t xml:space="preserve">(3) The city may seek reimbursement for costs reimbursed under subsection (2)(a) of this section from the entity that is constructing or operating the facility.</w:t>
      </w:r>
    </w:p>
    <w:p>
      <w:pPr>
        <w:spacing w:before="0" w:after="0" w:line="408" w:lineRule="exact"/>
        <w:ind w:left="0" w:right="0" w:firstLine="576"/>
        <w:jc w:val="left"/>
      </w:pPr>
      <w:r>
        <w:rPr>
          <w:u w:val="single"/>
        </w:rPr>
        <w:t xml:space="preserve">(4)</w:t>
      </w:r>
      <w:r>
        <w:rPr/>
        <w:t xml:space="preserve">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purposes of this section:</w:t>
      </w:r>
    </w:p>
    <w:p>
      <w:pPr>
        <w:spacing w:before="0" w:after="0" w:line="408" w:lineRule="exact"/>
        <w:ind w:left="0" w:right="0" w:firstLine="576"/>
        <w:jc w:val="left"/>
      </w:pPr>
      <w:r>
        <w:rPr/>
        <w:t xml:space="preserve">(a) "Public facility" means a project that was completed by December 31, 2014.</w:t>
      </w:r>
    </w:p>
    <w:p>
      <w:pPr>
        <w:spacing w:before="0" w:after="0" w:line="408" w:lineRule="exact"/>
        <w:ind w:left="0" w:right="0" w:firstLine="576"/>
        <w:jc w:val="left"/>
      </w:pPr>
      <w:r>
        <w:rPr/>
        <w:t xml:space="preserve">(b)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(c) A neighborhood has a high rate of ethnic diversity if forty percent or more of the population identifies as persons of color according to the most recent American community survey's five-year estimate.</w:t>
      </w:r>
    </w:p>
    <w:p>
      <w:pPr>
        <w:spacing w:before="0" w:after="0" w:line="408" w:lineRule="exact"/>
        <w:ind w:left="0" w:right="0" w:firstLine="576"/>
        <w:jc w:val="left"/>
      </w:pPr>
      <w:r>
        <w:rPr>
          <w:u w:val="single"/>
        </w:rPr>
        <w:t xml:space="preserve">(6) The city must implement the requirements of this section within ninety days of the effective date of this section.</w:t>
      </w:r>
    </w:p>
    <w:p/>
    <w:p>
      <w:pPr>
        <w:jc w:val="center"/>
      </w:pPr>
      <w:r>
        <w:rPr>
          <w:b/>
        </w:rPr>
        <w:t>--- END ---</w:t>
      </w:r>
    </w:p>
    <w:sectPr>
      <w:pgNumType w:start="1"/>
      <w:footerReference xmlns:r="http://schemas.openxmlformats.org/officeDocument/2006/relationships" r:id="R3580fd07de874d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375b4376e4e6a" /><Relationship Type="http://schemas.openxmlformats.org/officeDocument/2006/relationships/footer" Target="/word/footer1.xml" Id="R3580fd07de874d3e" /></Relationships>
</file>