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b0c9fab7d4b76" /></Relationships>
</file>

<file path=word/document.xml><?xml version="1.0" encoding="utf-8"?>
<w:document xmlns:w="http://schemas.openxmlformats.org/wordprocessingml/2006/main">
  <w:body>
    <w:p>
      <w:r>
        <w:t>S-1075.1</w:t>
      </w:r>
    </w:p>
    <w:p>
      <w:pPr>
        <w:jc w:val="center"/>
      </w:pPr>
      <w:r>
        <w:t>_______________________________________________</w:t>
      </w:r>
    </w:p>
    <w:p/>
    <w:p>
      <w:pPr>
        <w:jc w:val="center"/>
      </w:pPr>
      <w:r>
        <w:rPr>
          <w:b/>
        </w:rPr>
        <w:t>SENATE BILL 5748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O'Ban, Frockt, Rolfes, Randall, and Zeiger</w:t>
      </w:r>
    </w:p>
    <w:p/>
    <w:p>
      <w:r>
        <w:rPr>
          <w:t xml:space="preserve">Read first time 01/30/19.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support necessary infrastructure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infrastructure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 Expenditures from the account may only be used for grants to local governments for purposes of the programs established in subsections (3) and (4) of this section, including administrative expenses. Priority must be given for grants to local governments whose applications are accompanied by express support from nonprofit community or neighborhood-based organizations, public development authorities, federally recognized Indian tribes in the state, or other partners. Only the director or the director's designee, may authorize expenditures. In order for the director or the director's designee to authorize an expenditure for either the purposes identified in subsection (3) or (4) of this section, both federal matching funds and matching funds from the local government applicant must be committed to the same purposes as the state expenditure.</w:t>
      </w:r>
    </w:p>
    <w:p>
      <w:pPr>
        <w:spacing w:before="0" w:after="0" w:line="408" w:lineRule="exact"/>
        <w:ind w:left="0" w:right="0" w:firstLine="576"/>
        <w:jc w:val="left"/>
      </w:pPr>
      <w:r>
        <w:rPr/>
        <w:t xml:space="preserve">(3)(a) The department may expend moneys from the account to provide state matching funds for projects identified by local governments to support necessary infrastructure near military installations. Local governments must submit an application to the department in order to be eligible for funding under this subsection, and the department may not expend money on a project for which a local government has not applied to the department to carry out the project.</w:t>
      </w:r>
    </w:p>
    <w:p>
      <w:pPr>
        <w:spacing w:before="0" w:after="0" w:line="408" w:lineRule="exact"/>
        <w:ind w:left="0" w:right="0" w:firstLine="576"/>
        <w:jc w:val="left"/>
      </w:pPr>
      <w:r>
        <w:rPr/>
        <w:t xml:space="preserve">(b) The department must evaluate and rank applications using objective criteria, and must consider the degree to which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Local infrastructure or facilities necessary to help a community accommodate an expanded military presence in their community;</w:t>
      </w:r>
    </w:p>
    <w:p>
      <w:pPr>
        <w:spacing w:before="0" w:after="0" w:line="408" w:lineRule="exact"/>
        <w:ind w:left="0" w:right="0" w:firstLine="576"/>
        <w:jc w:val="left"/>
      </w:pPr>
      <w:r>
        <w:rPr/>
        <w:t xml:space="preserve">(iv) Projects or programs to increase the availability of housing affordable to enlisted military personnel in the local community; and</w:t>
      </w:r>
    </w:p>
    <w:p>
      <w:pPr>
        <w:spacing w:before="0" w:after="0" w:line="408" w:lineRule="exact"/>
        <w:ind w:left="0" w:right="0" w:firstLine="576"/>
        <w:jc w:val="left"/>
      </w:pPr>
      <w:r>
        <w:rPr/>
        <w:t xml:space="preserve">(v) Projects to retrofit existing uses to increase their compatibility with existing military operations.</w:t>
      </w:r>
    </w:p>
    <w:p>
      <w:pPr>
        <w:spacing w:before="0" w:after="0" w:line="408" w:lineRule="exact"/>
        <w:ind w:left="0" w:right="0" w:firstLine="576"/>
        <w:jc w:val="left"/>
      </w:pPr>
      <w:r>
        <w:rPr/>
        <w:t xml:space="preserve">(4) The department may expend moneys from the account to provide state matching funds for projects on the list submitted by the department consistent with section 2 of this act.</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support necessary infrastructure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must consult with the commanders of United States military installations in Washington to identify eligible projects.</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by January 1, 2020, and every two years thereafter.</w:t>
      </w:r>
    </w:p>
    <w:p/>
    <w:p>
      <w:pPr>
        <w:jc w:val="center"/>
      </w:pPr>
      <w:r>
        <w:rPr>
          <w:b/>
        </w:rPr>
        <w:t>--- END ---</w:t>
      </w:r>
    </w:p>
    <w:sectPr>
      <w:pgNumType w:start="1"/>
      <w:footerReference xmlns:r="http://schemas.openxmlformats.org/officeDocument/2006/relationships" r:id="R1fb80e68481f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c32b3ac7f4de7" /><Relationship Type="http://schemas.openxmlformats.org/officeDocument/2006/relationships/footer" Target="/word/footer1.xml" Id="R1fb80e68481f4d5a" /></Relationships>
</file>