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4bf939d1ee471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5755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Randall, Hobbs, and Wilson, C.</w:t>
      </w:r>
    </w:p>
    <w:p/>
    <w:p>
      <w:r>
        <w:rPr>
          <w:t xml:space="preserve">Read first time 01/30/19.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and national guard tuition waivers;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2018 c 129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w:t>
      </w:r>
      <w:r>
        <w:rPr>
          <w:u w:val="single"/>
        </w:rPr>
        <w:t xml:space="preserve">fifty</w:t>
      </w:r>
      <w:r>
        <w:rPr/>
        <w:t xml:space="preserve">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received an honorable discharge </w:t>
      </w:r>
      <w:r>
        <w:rPr>
          <w:u w:val="single"/>
        </w:rPr>
        <w:t xml:space="preserve">or general discharge under honorable conditions and the narrative reason for separation on the DD 214 form includes reasons of gender or sexuality</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82645a0af0c34c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5755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0ae1688db846e8" /><Relationship Type="http://schemas.openxmlformats.org/officeDocument/2006/relationships/footer" Target="/word/footer1.xml" Id="R82645a0af0c34ce7" /></Relationships>
</file>