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398af0238f4484" /></Relationships>
</file>

<file path=word/document.xml><?xml version="1.0" encoding="utf-8"?>
<w:document xmlns:w="http://schemas.openxmlformats.org/wordprocessingml/2006/main">
  <w:body>
    <w:p>
      <w:r>
        <w:t>S-0721.1</w:t>
      </w:r>
    </w:p>
    <w:p>
      <w:pPr>
        <w:jc w:val="center"/>
      </w:pPr>
      <w:r>
        <w:t>_______________________________________________</w:t>
      </w:r>
    </w:p>
    <w:p/>
    <w:p>
      <w:pPr>
        <w:jc w:val="center"/>
      </w:pPr>
      <w:r>
        <w:rPr>
          <w:b/>
        </w:rPr>
        <w:t>SENATE BILL 5769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urban density requirements in growth management act cities and counties; amending RCW 36.70A.110, 36.70A.490, and 36.70A.130; adding new sections to chapter 36.70A RCW; adding a new section to chapter 36.22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w:t>
      </w:r>
      <w:r>
        <w:rPr>
          <w:u w:val="single"/>
        </w:rPr>
        <w:t xml:space="preserve">of no less than six dwelling units per acre in areas designated for residential use</w:t>
      </w:r>
      <w:r>
        <w:rPr/>
        <w:t xml:space="preserve">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planning under RCW 36.70A.040 must implement the following requirements in areas designated for residential use and located within one-quarter mile of either a school, park, rail station, hospital, community center, or area designated for commercial use, mixed use, or multifamily housing:</w:t>
      </w:r>
    </w:p>
    <w:p>
      <w:pPr>
        <w:spacing w:before="0" w:after="0" w:line="408" w:lineRule="exact"/>
        <w:ind w:left="0" w:right="0" w:firstLine="576"/>
        <w:jc w:val="left"/>
      </w:pPr>
      <w:r>
        <w:rPr/>
        <w:t xml:space="preserve">(a) Allow the following types of housing to be built as a permitted use, without any conditional use permit:</w:t>
      </w:r>
    </w:p>
    <w:p>
      <w:pPr>
        <w:spacing w:before="0" w:after="0" w:line="408" w:lineRule="exact"/>
        <w:ind w:left="0" w:right="0" w:firstLine="576"/>
        <w:jc w:val="left"/>
      </w:pPr>
      <w:r>
        <w:rPr/>
        <w:t xml:space="preserve">(i) Cottage housing;</w:t>
      </w:r>
    </w:p>
    <w:p>
      <w:pPr>
        <w:spacing w:before="0" w:after="0" w:line="408" w:lineRule="exact"/>
        <w:ind w:left="0" w:right="0" w:firstLine="576"/>
        <w:jc w:val="left"/>
      </w:pPr>
      <w:r>
        <w:rPr/>
        <w:t xml:space="preserve">(ii) Courtyard apartments;</w:t>
      </w:r>
    </w:p>
    <w:p>
      <w:pPr>
        <w:spacing w:before="0" w:after="0" w:line="408" w:lineRule="exact"/>
        <w:ind w:left="0" w:right="0" w:firstLine="576"/>
        <w:jc w:val="left"/>
      </w:pPr>
      <w:r>
        <w:rPr/>
        <w:t xml:space="preserve">(iii) Duplexes;</w:t>
      </w:r>
    </w:p>
    <w:p>
      <w:pPr>
        <w:spacing w:before="0" w:after="0" w:line="408" w:lineRule="exact"/>
        <w:ind w:left="0" w:right="0" w:firstLine="576"/>
        <w:jc w:val="left"/>
      </w:pPr>
      <w:r>
        <w:rPr/>
        <w:t xml:space="preserve">(iv) Triplexes;</w:t>
      </w:r>
    </w:p>
    <w:p>
      <w:pPr>
        <w:spacing w:before="0" w:after="0" w:line="408" w:lineRule="exact"/>
        <w:ind w:left="0" w:right="0" w:firstLine="576"/>
        <w:jc w:val="left"/>
      </w:pPr>
      <w:r>
        <w:rPr/>
        <w:t xml:space="preserve">(v) Fourplexes;</w:t>
      </w:r>
    </w:p>
    <w:p>
      <w:pPr>
        <w:spacing w:before="0" w:after="0" w:line="408" w:lineRule="exact"/>
        <w:ind w:left="0" w:right="0" w:firstLine="576"/>
        <w:jc w:val="left"/>
      </w:pPr>
      <w:r>
        <w:rPr/>
        <w:t xml:space="preserve">(vi) Manufactured homes;</w:t>
      </w:r>
    </w:p>
    <w:p>
      <w:pPr>
        <w:spacing w:before="0" w:after="0" w:line="408" w:lineRule="exact"/>
        <w:ind w:left="0" w:right="0" w:firstLine="576"/>
        <w:jc w:val="left"/>
      </w:pPr>
      <w:r>
        <w:rPr/>
        <w:t xml:space="preserve">(vii) Single-room occupancies; and</w:t>
      </w:r>
    </w:p>
    <w:p>
      <w:pPr>
        <w:spacing w:before="0" w:after="0" w:line="408" w:lineRule="exact"/>
        <w:ind w:left="0" w:right="0" w:firstLine="576"/>
        <w:jc w:val="left"/>
      </w:pPr>
      <w:r>
        <w:rPr/>
        <w:t xml:space="preserve">(viii) Townhouses;</w:t>
      </w:r>
    </w:p>
    <w:p>
      <w:pPr>
        <w:spacing w:before="0" w:after="0" w:line="408" w:lineRule="exact"/>
        <w:ind w:left="0" w:right="0" w:firstLine="576"/>
        <w:jc w:val="left"/>
      </w:pPr>
      <w:r>
        <w:rPr/>
        <w:t xml:space="preserve">(b) For courtyard apartments:</w:t>
      </w:r>
    </w:p>
    <w:p>
      <w:pPr>
        <w:spacing w:before="0" w:after="0" w:line="408" w:lineRule="exact"/>
        <w:ind w:left="0" w:right="0" w:firstLine="576"/>
        <w:jc w:val="left"/>
      </w:pPr>
      <w:r>
        <w:rPr/>
        <w:t xml:space="preserve">(i) Apply infill residential design standards; and</w:t>
      </w:r>
    </w:p>
    <w:p>
      <w:pPr>
        <w:spacing w:before="0" w:after="0" w:line="408" w:lineRule="exact"/>
        <w:ind w:left="0" w:right="0" w:firstLine="576"/>
        <w:jc w:val="left"/>
      </w:pPr>
      <w:r>
        <w:rPr/>
        <w:t xml:space="preserve">(ii) Require no more than one off-street parking space per two units, or one and one-half spaces, if on-street parking is not available;</w:t>
      </w:r>
    </w:p>
    <w:p>
      <w:pPr>
        <w:spacing w:before="0" w:after="0" w:line="408" w:lineRule="exact"/>
        <w:ind w:left="0" w:right="0" w:firstLine="576"/>
        <w:jc w:val="left"/>
      </w:pPr>
      <w:r>
        <w:rPr/>
        <w:t xml:space="preserve">(c) For duplexes:</w:t>
      </w:r>
    </w:p>
    <w:p>
      <w:pPr>
        <w:spacing w:before="0" w:after="0" w:line="408" w:lineRule="exact"/>
        <w:ind w:left="0" w:right="0" w:firstLine="576"/>
        <w:jc w:val="left"/>
      </w:pPr>
      <w:r>
        <w:rPr/>
        <w:t xml:space="preserve">(i) Allow one connection to the sewer main; and</w:t>
      </w:r>
    </w:p>
    <w:p>
      <w:pPr>
        <w:spacing w:before="0" w:after="0" w:line="408" w:lineRule="exact"/>
        <w:ind w:left="0" w:right="0" w:firstLine="576"/>
        <w:jc w:val="left"/>
      </w:pPr>
      <w:r>
        <w:rPr/>
        <w:t xml:space="preserve">(ii) Require no more than one off-street parking space per two units, or one and one-half spaces, if on-street parking is not available;</w:t>
      </w:r>
    </w:p>
    <w:p>
      <w:pPr>
        <w:spacing w:before="0" w:after="0" w:line="408" w:lineRule="exact"/>
        <w:ind w:left="0" w:right="0" w:firstLine="576"/>
        <w:jc w:val="left"/>
      </w:pPr>
      <w:r>
        <w:rPr/>
        <w:t xml:space="preserve">(d) For manufactured homes:</w:t>
      </w:r>
    </w:p>
    <w:p>
      <w:pPr>
        <w:spacing w:before="0" w:after="0" w:line="408" w:lineRule="exact"/>
        <w:ind w:left="0" w:right="0" w:firstLine="576"/>
        <w:jc w:val="left"/>
      </w:pPr>
      <w:r>
        <w:rPr/>
        <w:t xml:space="preserve">(i) Remove any minimum home size requirements; and</w:t>
      </w:r>
    </w:p>
    <w:p>
      <w:pPr>
        <w:spacing w:before="0" w:after="0" w:line="408" w:lineRule="exact"/>
        <w:ind w:left="0" w:right="0" w:firstLine="576"/>
        <w:jc w:val="left"/>
      </w:pPr>
      <w:r>
        <w:rPr/>
        <w:t xml:space="preserve">(ii) When proposed as an accessory dwelling unit, apply accessory dwelling unit design standards;</w:t>
      </w:r>
    </w:p>
    <w:p>
      <w:pPr>
        <w:spacing w:before="0" w:after="0" w:line="408" w:lineRule="exact"/>
        <w:ind w:left="0" w:right="0" w:firstLine="576"/>
        <w:jc w:val="left"/>
      </w:pPr>
      <w:r>
        <w:rPr/>
        <w:t xml:space="preserve">(e) For single-room occupancies:</w:t>
      </w:r>
    </w:p>
    <w:p>
      <w:pPr>
        <w:spacing w:before="0" w:after="0" w:line="408" w:lineRule="exact"/>
        <w:ind w:left="0" w:right="0" w:firstLine="576"/>
        <w:jc w:val="left"/>
      </w:pPr>
      <w:r>
        <w:rPr/>
        <w:t xml:space="preserve">(i) Apply infill residential design standards; and</w:t>
      </w:r>
    </w:p>
    <w:p>
      <w:pPr>
        <w:spacing w:before="0" w:after="0" w:line="408" w:lineRule="exact"/>
        <w:ind w:left="0" w:right="0" w:firstLine="576"/>
        <w:jc w:val="left"/>
      </w:pPr>
      <w:r>
        <w:rPr/>
        <w:t xml:space="preserve">(ii) Require no more than one off-street parking space for every four units;</w:t>
      </w:r>
    </w:p>
    <w:p>
      <w:pPr>
        <w:spacing w:before="0" w:after="0" w:line="408" w:lineRule="exact"/>
        <w:ind w:left="0" w:right="0" w:firstLine="576"/>
        <w:jc w:val="left"/>
      </w:pPr>
      <w:r>
        <w:rPr/>
        <w:t xml:space="preserve">(f) For townhouses:</w:t>
      </w:r>
    </w:p>
    <w:p>
      <w:pPr>
        <w:spacing w:before="0" w:after="0" w:line="408" w:lineRule="exact"/>
        <w:ind w:left="0" w:right="0" w:firstLine="576"/>
        <w:jc w:val="left"/>
      </w:pPr>
      <w:r>
        <w:rPr/>
        <w:t xml:space="preserve">(i) Remove any limit on dwelling units per townhouse structure;</w:t>
      </w:r>
    </w:p>
    <w:p>
      <w:pPr>
        <w:spacing w:before="0" w:after="0" w:line="408" w:lineRule="exact"/>
        <w:ind w:left="0" w:right="0" w:firstLine="576"/>
        <w:jc w:val="left"/>
      </w:pPr>
      <w:r>
        <w:rPr/>
        <w:t xml:space="preserve">(ii) Remove any side yard setback requirement that is more than five feet; and</w:t>
      </w:r>
    </w:p>
    <w:p>
      <w:pPr>
        <w:spacing w:before="0" w:after="0" w:line="408" w:lineRule="exact"/>
        <w:ind w:left="0" w:right="0" w:firstLine="576"/>
        <w:jc w:val="left"/>
      </w:pPr>
      <w:r>
        <w:rPr/>
        <w:t xml:space="preserve">(iii) Require no more than one off-street parking space per two units, or one and one-half spaces, if on-street parking is not available;</w:t>
      </w:r>
    </w:p>
    <w:p>
      <w:pPr>
        <w:spacing w:before="0" w:after="0" w:line="408" w:lineRule="exact"/>
        <w:ind w:left="0" w:right="0" w:firstLine="576"/>
        <w:jc w:val="left"/>
      </w:pPr>
      <w:r>
        <w:rPr/>
        <w:t xml:space="preserve">(g) For triplexes and fourplexes, require no more than one off-street parking space per two units, or one and one-half spaces, if on-street parking is not available.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"Cottage housing" means a housing type where four or more single-family detached dwelling units or carriage housing units sized no more than one thousand two hundred square feet in living area are arranged around a central common open space;</w:t>
      </w:r>
    </w:p>
    <w:p>
      <w:pPr>
        <w:spacing w:before="0" w:after="0" w:line="408" w:lineRule="exact"/>
        <w:ind w:left="0" w:right="0" w:firstLine="576"/>
        <w:jc w:val="left"/>
      </w:pPr>
      <w:r>
        <w:rPr/>
        <w:t xml:space="preserve">(b) "Courtyard apartment" means five to twelve attached apartment units arranged on two or three sides of a central courtyard or lawn area;</w:t>
      </w:r>
    </w:p>
    <w:p>
      <w:pPr>
        <w:spacing w:before="0" w:after="0" w:line="408" w:lineRule="exact"/>
        <w:ind w:left="0" w:right="0" w:firstLine="576"/>
        <w:jc w:val="left"/>
      </w:pPr>
      <w:r>
        <w:rPr/>
        <w:t xml:space="preserve">(c) "Duplex" means one building containing two single-family dwelling units totally separated from each other by a one-hour fire wall or floor;</w:t>
      </w:r>
    </w:p>
    <w:p>
      <w:pPr>
        <w:spacing w:before="0" w:after="0" w:line="408" w:lineRule="exact"/>
        <w:ind w:left="0" w:right="0" w:firstLine="576"/>
        <w:jc w:val="left"/>
      </w:pPr>
      <w:r>
        <w:rPr/>
        <w:t xml:space="preserve">(d) "Fourplex" means one building containing four single-family dwelling units totally separated from each other by a one-hour fire wall or floor;</w:t>
      </w:r>
    </w:p>
    <w:p>
      <w:pPr>
        <w:spacing w:before="0" w:after="0" w:line="408" w:lineRule="exact"/>
        <w:ind w:left="0" w:right="0" w:firstLine="576"/>
        <w:jc w:val="left"/>
      </w:pPr>
      <w:r>
        <w:rPr/>
        <w:t xml:space="preserve">(e) "Manufactured home" means a single-family residence constructed after June 15, 1976, in accordance with state and federal requirements for manufactured homes, installed in accordance with the department of housing and urban development requirements for manufactured housing, and bearing the appropriate insignia indicating such compliance;</w:t>
      </w:r>
    </w:p>
    <w:p>
      <w:pPr>
        <w:spacing w:before="0" w:after="0" w:line="408" w:lineRule="exact"/>
        <w:ind w:left="0" w:right="0" w:firstLine="576"/>
        <w:jc w:val="left"/>
      </w:pPr>
      <w:r>
        <w:rPr/>
        <w:t xml:space="preserve">(f) "Single-room occupancy" means a housing type consisting of one room with shared bathroom facilities, and cooking facilities that are either in the room or shared;</w:t>
      </w:r>
    </w:p>
    <w:p>
      <w:pPr>
        <w:spacing w:before="0" w:after="0" w:line="408" w:lineRule="exact"/>
        <w:ind w:left="0" w:right="0" w:firstLine="576"/>
        <w:jc w:val="left"/>
      </w:pPr>
      <w:r>
        <w:rPr/>
        <w:t xml:space="preserve">(g) "Townhouse" means a building containing three or more single-family dwelling units totally separated from each other by a one-hour fire wall; and</w:t>
      </w:r>
    </w:p>
    <w:p>
      <w:pPr>
        <w:spacing w:before="0" w:after="0" w:line="408" w:lineRule="exact"/>
        <w:ind w:left="0" w:right="0" w:firstLine="576"/>
        <w:jc w:val="left"/>
      </w:pPr>
      <w:r>
        <w:rPr/>
        <w:t xml:space="preserve">(h) "Triplex" means one building containing three single-family dwelling units totally separated from each other by a one-hour fire wall or floor.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state grant program is established for local planning costs associated with meeting the requirements of this act and other state land use and planning requirements.</w:t>
      </w:r>
    </w:p>
    <w:p>
      <w:pPr>
        <w:spacing w:before="0" w:after="0" w:line="408" w:lineRule="exact"/>
        <w:ind w:left="0" w:right="0" w:firstLine="576"/>
        <w:jc w:val="left"/>
      </w:pPr>
      <w:r>
        <w:rPr/>
        <w:t xml:space="preserve">(2) The program must be developed and administered by the department and the department may develop rules to administer the program.</w:t>
      </w:r>
    </w:p>
    <w:p>
      <w:pPr>
        <w:spacing w:before="0" w:after="0" w:line="408" w:lineRule="exact"/>
        <w:ind w:left="0" w:right="0" w:firstLine="576"/>
        <w:jc w:val="left"/>
      </w:pPr>
      <w:r>
        <w:rPr/>
        <w:t xml:space="preserve">(3) Cities and counties may apply to the department for a grant that goes towards local planning costs associated with meeting the requirements of this act and other state land use and planning requirements, to be paid from the growth management planning and environmental review fund established in RCW 36.70A.490, including costs associated with:</w:t>
      </w:r>
    </w:p>
    <w:p>
      <w:pPr>
        <w:spacing w:before="0" w:after="0" w:line="408" w:lineRule="exact"/>
        <w:ind w:left="0" w:right="0" w:firstLine="576"/>
        <w:jc w:val="left"/>
      </w:pPr>
      <w:r>
        <w:rPr/>
        <w:t xml:space="preserve">(a) Implementing the requirements of RCW 36.70A.110 and section 2 of this act;</w:t>
      </w:r>
    </w:p>
    <w:p>
      <w:pPr>
        <w:spacing w:before="0" w:after="0" w:line="408" w:lineRule="exact"/>
        <w:ind w:left="0" w:right="0" w:firstLine="576"/>
        <w:jc w:val="left"/>
      </w:pPr>
      <w:r>
        <w:rPr/>
        <w:t xml:space="preserve">(b) Implementing changes to the review and evaluation program under RCW 36.70A.215 as required by chapter 16, Laws of 2017;</w:t>
      </w:r>
    </w:p>
    <w:p>
      <w:pPr>
        <w:spacing w:before="0" w:after="0" w:line="408" w:lineRule="exact"/>
        <w:ind w:left="0" w:right="0" w:firstLine="576"/>
        <w:jc w:val="left"/>
      </w:pPr>
      <w:r>
        <w:rPr/>
        <w:t xml:space="preserve">(c) Administrative approval of final plats as referenced in chapter 58.17 RCW;</w:t>
      </w:r>
    </w:p>
    <w:p>
      <w:pPr>
        <w:spacing w:before="0" w:after="0" w:line="408" w:lineRule="exact"/>
        <w:ind w:left="0" w:right="0" w:firstLine="576"/>
        <w:jc w:val="left"/>
      </w:pPr>
      <w:r>
        <w:rPr/>
        <w:t xml:space="preserve">(d) State environmental policy act threshold increases under chapter 43.21C RCW;</w:t>
      </w:r>
    </w:p>
    <w:p>
      <w:pPr>
        <w:spacing w:before="0" w:after="0" w:line="408" w:lineRule="exact"/>
        <w:ind w:left="0" w:right="0" w:firstLine="576"/>
        <w:jc w:val="left"/>
      </w:pPr>
      <w:r>
        <w:rPr/>
        <w:t xml:space="preserve">(e) Short plat threshold increases as referenced in chapter 58.17 RCW;</w:t>
      </w:r>
    </w:p>
    <w:p>
      <w:pPr>
        <w:spacing w:before="0" w:after="0" w:line="408" w:lineRule="exact"/>
        <w:ind w:left="0" w:right="0" w:firstLine="576"/>
        <w:jc w:val="left"/>
      </w:pPr>
      <w:r>
        <w:rPr/>
        <w:t xml:space="preserve">(f) Streamlining and modernizing of permit processes;</w:t>
      </w:r>
    </w:p>
    <w:p>
      <w:pPr>
        <w:spacing w:before="0" w:after="0" w:line="408" w:lineRule="exact"/>
        <w:ind w:left="0" w:right="0" w:firstLine="576"/>
        <w:jc w:val="left"/>
      </w:pPr>
      <w:r>
        <w:rPr/>
        <w:t xml:space="preserve">(g) Updates to use matrices that add residential zones or eliminate processes that may be unnecessary, such as conditional use permits; and</w:t>
      </w:r>
    </w:p>
    <w:p>
      <w:pPr>
        <w:spacing w:before="0" w:after="0" w:line="408" w:lineRule="exact"/>
        <w:ind w:left="0" w:right="0" w:firstLine="576"/>
        <w:jc w:val="left"/>
      </w:pPr>
      <w:r>
        <w:rPr/>
        <w:t xml:space="preserve">(h) Codes that implement lot size averaging.</w:t>
      </w:r>
    </w:p>
    <w:p>
      <w:pPr>
        <w:spacing w:before="0" w:after="0" w:line="408" w:lineRule="exact"/>
        <w:ind w:left="0" w:right="0" w:firstLine="576"/>
        <w:jc w:val="left"/>
      </w:pPr>
      <w:r>
        <w:rPr/>
        <w:t xml:space="preserve">(4)(a) The department must prioritize grant awards for costs associated with subsection (3)(a) or (b) of this section.</w:t>
      </w:r>
    </w:p>
    <w:p>
      <w:pPr>
        <w:spacing w:before="0" w:after="0" w:line="408" w:lineRule="exact"/>
        <w:ind w:left="0" w:right="0" w:firstLine="576"/>
        <w:jc w:val="left"/>
      </w:pPr>
      <w:r>
        <w:rPr/>
        <w:t xml:space="preserve">(b) Only after awarding grants for costs associated with subsection (3)(a) or (b) of this section may the department award grants for costs associated with subsection (3)(c) through (h) of this section.</w:t>
      </w:r>
    </w:p>
    <w:p>
      <w:pPr>
        <w:spacing w:before="0" w:after="0" w:line="408" w:lineRule="exact"/>
        <w:ind w:left="0" w:right="0" w:firstLine="576"/>
        <w:jc w:val="left"/>
      </w:pPr>
      <w:r>
        <w:rPr/>
        <w:t xml:space="preserve">(5) Grant funding under this section is limited to ten million dollars per fiscal biennium. If requests for funding under this section exceed the balance of the fund or the limit imposed by this subsection, then the department must reduce the amount of funding paid in a manner prescribed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w:t>
      </w:r>
      <w:r>
        <w:rPr>
          <w:u w:val="single"/>
        </w:rPr>
        <w:t xml:space="preserve">section 3 of this act,</w:t>
      </w:r>
      <w:r>
        <w:rPr/>
        <w:t xml:space="preserve"> or 36.70A.500. Any payment of either principal or interest, or both, derived from loans made from this fund must be deposited into the fund. </w:t>
      </w:r>
      <w:r>
        <w:rPr>
          <w:u w:val="single"/>
        </w:rPr>
        <w:t xml:space="preserve">The state's portion of the surcharge established in section 5 of this act must be deposited in the fund. Moneys deposited from the surcharge imposed in section 5 of this act may only be expended for purposes of the grant program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A surcharge in the amount determined under subsection (2) of this section must be charged by the county auditor for each document recorded, which will be in addition to any other charge allowed by law. The auditor may retain up to two percent for collection of the fee, and must remit the remainder to the state to be deposited into the growth management planning and environmental review fund established in RCW 36.70A.490.</w:t>
      </w:r>
    </w:p>
    <w:p>
      <w:pPr>
        <w:spacing w:before="0" w:after="0" w:line="408" w:lineRule="exact"/>
        <w:ind w:left="0" w:right="0" w:firstLine="576"/>
        <w:jc w:val="left"/>
      </w:pPr>
      <w:r>
        <w:rPr/>
        <w:t xml:space="preserve">(2) The surcharge imposed by subsection (1) of this section must be sufficient to provide ten million dollars of deposits to the growth management planning and environmental review fund each fiscal biennium. The office of financial management must establish, and periodically adjust, the surcharge at an amount no higher than necessary to meet this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comprehensive plan, as referenced in RCW 36.70A.070, of a city or county planning under RCW 36.70A.040 must be consistent with this act.</w:t>
      </w:r>
    </w:p>
    <w:p>
      <w:pPr>
        <w:spacing w:before="0" w:after="0" w:line="408" w:lineRule="exact"/>
        <w:ind w:left="0" w:right="0" w:firstLine="576"/>
        <w:jc w:val="left"/>
      </w:pPr>
      <w:r>
        <w:rPr/>
        <w:t xml:space="preserve">(2) Cities and counties planning under RCW 36.70A.040 must implement RCW 36.70A.110 and section 2 of this act in the housing element of their comprehensive plans and in their local zoning maps before December 31, 2020.</w:t>
      </w:r>
    </w:p>
    <w:p>
      <w:pPr>
        <w:spacing w:before="0" w:after="0" w:line="408" w:lineRule="exact"/>
        <w:ind w:left="0" w:right="0" w:firstLine="576"/>
        <w:jc w:val="left"/>
      </w:pPr>
      <w:r>
        <w:rPr/>
        <w:t xml:space="preserve">(3) Any plans, development regulations, or amendments adopted by a city or county pursuant to RCW 36.70A.110 and section 2 of this act are not subject to review under RCW 36.70A.280 until the next periodic update as required under RCW 36.70A.130.</w:t>
      </w:r>
    </w:p>
    <w:p>
      <w:pPr>
        <w:spacing w:before="0" w:after="0" w:line="408" w:lineRule="exact"/>
        <w:ind w:left="0" w:right="0" w:firstLine="576"/>
        <w:jc w:val="left"/>
      </w:pPr>
      <w:r>
        <w:rPr/>
        <w:t xml:space="preserve">(4) Any state environmental policy act decision, as referenced in chapter 43.21C RCW, that arises from implementing the requirements of subsection (2) of this section is not subject to appeal under RCW 43.21C.075.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w:t>
      </w:r>
      <w:r>
        <w:t>((</w:t>
      </w:r>
      <w:r>
        <w:rPr>
          <w:strike/>
        </w:rPr>
        <w:t xml:space="preserve">or</w:t>
      </w:r>
      <w:r>
        <w:t>))</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r>
        <w:rPr>
          <w:u w:val="single"/>
        </w:rPr>
        <w:t xml:space="preserve">; or</w:t>
      </w:r>
    </w:p>
    <w:p>
      <w:pPr>
        <w:spacing w:before="0" w:after="0" w:line="408" w:lineRule="exact"/>
        <w:ind w:left="0" w:right="0" w:firstLine="576"/>
        <w:jc w:val="left"/>
      </w:pPr>
      <w:r>
        <w:rPr>
          <w:u w:val="single"/>
        </w:rPr>
        <w:t xml:space="preserve">(vi) The adoption of comprehensive plan amendments necessary to meet the requirements of RCW 36.70A.110 or section 2 of this act</w:t>
      </w:r>
      <w:r>
        <w:rPr/>
        <w:t xml:space="preserve">.</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9b2c5ab425e43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5b3cabd6046a1" /><Relationship Type="http://schemas.openxmlformats.org/officeDocument/2006/relationships/footer" Target="/word/footer1.xml" Id="Rb9b2c5ab425e4384" /></Relationships>
</file>