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03d64bcba84e9d" /></Relationships>
</file>

<file path=word/document.xml><?xml version="1.0" encoding="utf-8"?>
<w:document xmlns:w="http://schemas.openxmlformats.org/wordprocessingml/2006/main">
  <w:body>
    <w:p>
      <w:r>
        <w:t>S-1110.1</w:t>
      </w:r>
    </w:p>
    <w:p>
      <w:pPr>
        <w:jc w:val="center"/>
      </w:pPr>
      <w:r>
        <w:t>_______________________________________________</w:t>
      </w:r>
    </w:p>
    <w:p/>
    <w:p>
      <w:pPr>
        <w:jc w:val="center"/>
      </w:pPr>
      <w:r>
        <w:rPr>
          <w:b/>
        </w:rPr>
        <w:t>SENATE BILL 5798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Senators Schoesler, Bailey, Becker, Short, Brown, King, Fortunato, Wagoner, Warnick, Honeyford, Takko, Rivers, Zeiger, Holy, Van De Wege, and Wilson, L.</w:t>
      </w:r>
    </w:p>
    <w:p/>
    <w:p>
      <w:r>
        <w:rPr>
          <w:t xml:space="preserve">Read first time 02/01/19.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and use tax exemption for construction and repair costs associated with fish barrier removal; amending RCW 82.14.050 and 82.14.060; adding a new section to chapter 82.08 RCW; adding a new section to chapter 82.12 RCW; creating a new section;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requirements of this section, the tax levied by RCW 82.08.020 does not apply to:</w:t>
      </w:r>
    </w:p>
    <w:p>
      <w:pPr>
        <w:spacing w:before="0" w:after="0" w:line="408" w:lineRule="exact"/>
        <w:ind w:left="0" w:right="0" w:firstLine="576"/>
        <w:jc w:val="left"/>
      </w:pPr>
      <w:r>
        <w:rPr/>
        <w:t xml:space="preserve">(a) Charges for labor and services rendered in respect to fish passage barrier removal; or</w:t>
      </w:r>
    </w:p>
    <w:p>
      <w:pPr>
        <w:spacing w:before="0" w:after="0" w:line="408" w:lineRule="exact"/>
        <w:ind w:left="0" w:right="0" w:firstLine="576"/>
        <w:jc w:val="left"/>
      </w:pPr>
      <w:r>
        <w:rPr/>
        <w:t xml:space="preserve">(b) Sales of tangible personal property that will be incorporated as an ingredient or component of fish passage barrier removal.</w:t>
      </w:r>
    </w:p>
    <w:p>
      <w:pPr>
        <w:spacing w:before="0" w:after="0" w:line="408" w:lineRule="exact"/>
        <w:ind w:left="0" w:right="0" w:firstLine="576"/>
        <w:jc w:val="left"/>
      </w:pPr>
      <w:r>
        <w:rPr/>
        <w:t xml:space="preserve">(2)(a) The exemption in this section is in the form of a remittance. A buyer claiming an exemption from the tax in the form of a remittance under this section must pay all applicable state and local sales taxes imposed under RCW 82.08.020 and chapter 82.14 RCW on all purchases qualifying for the exemption.</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may on a quarterly basis submit an application,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location and size of new structures;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(d) A person may request a remittance for state and local sales and use taxes on or after the effective date of this section.</w:t>
      </w:r>
    </w:p>
    <w:p>
      <w:pPr>
        <w:spacing w:before="0" w:after="0" w:line="408" w:lineRule="exact"/>
        <w:ind w:left="0" w:right="0" w:firstLine="576"/>
        <w:jc w:val="left"/>
      </w:pPr>
      <w:r>
        <w:rPr/>
        <w:t xml:space="preserve">(3) For the purposes of this section, "fish passage barrier removal" means those activities consistent with Title 77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provisions of this chapter do not apply with respect to the use of tangible personal property that will be incorporated as an ingredient or component in fish passage barrier removal.</w:t>
      </w:r>
    </w:p>
    <w:p>
      <w:pPr>
        <w:spacing w:before="0" w:after="0" w:line="408" w:lineRule="exact"/>
        <w:ind w:left="0" w:right="0" w:firstLine="576"/>
        <w:jc w:val="left"/>
      </w:pPr>
      <w:r>
        <w:rPr/>
        <w:t xml:space="preserve">(2) The eligibility requirements, conditions, and definition in section 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2016 c 191 s 4 are each amended to read as follows:</w:t>
      </w:r>
    </w:p>
    <w:p>
      <w:pPr>
        <w:spacing w:before="0" w:after="0" w:line="408" w:lineRule="exact"/>
        <w:ind w:left="0" w:right="0" w:firstLine="576"/>
        <w:jc w:val="left"/>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spacing w:before="0" w:after="0" w:line="408" w:lineRule="exact"/>
        <w:ind w:left="0" w:right="0" w:firstLine="576"/>
        <w:jc w:val="left"/>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spacing w:before="0" w:after="0" w:line="408" w:lineRule="exact"/>
        <w:ind w:left="0" w:right="0" w:firstLine="576"/>
        <w:jc w:val="left"/>
      </w:pPr>
      <w:r>
        <w:rPr/>
        <w:t xml:space="preserve">(b) Making refunds of taxes imposed under the authority of this chapter and RCW 81.104.170 and exempted under RCW 82.08.962, 82.12.962, 82.08.02565, 82.12.02565, 82.08.025661, </w:t>
      </w:r>
      <w:r>
        <w:t>((</w:t>
      </w:r>
      <w:r>
        <w:rPr>
          <w:strike/>
        </w:rPr>
        <w:t xml:space="preserve">or</w:t>
      </w:r>
      <w:r>
        <w:t>))</w:t>
      </w:r>
      <w:r>
        <w:rPr/>
        <w:t xml:space="preserve"> 82.12.025661</w:t>
      </w:r>
      <w:r>
        <w:rPr>
          <w:u w:val="single"/>
        </w:rPr>
        <w:t xml:space="preserve">, or section 1 or 2 of this act</w:t>
      </w:r>
      <w:r>
        <w:rPr/>
        <w:t xml:space="preserve">.</w:t>
      </w:r>
    </w:p>
    <w:p>
      <w:pPr>
        <w:spacing w:before="0" w:after="0" w:line="408" w:lineRule="exact"/>
        <w:ind w:left="0" w:right="0" w:firstLine="576"/>
        <w:jc w:val="left"/>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spacing w:before="0" w:after="0" w:line="408" w:lineRule="exact"/>
        <w:ind w:left="0" w:right="0" w:firstLine="576"/>
        <w:jc w:val="left"/>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spacing w:before="0" w:after="0" w:line="408" w:lineRule="exact"/>
        <w:ind w:left="0" w:right="0" w:firstLine="576"/>
        <w:jc w:val="left"/>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spacing w:before="0" w:after="0" w:line="408" w:lineRule="exact"/>
        <w:ind w:left="0" w:right="0" w:firstLine="576"/>
        <w:jc w:val="left"/>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2016 c 191 s 5 are each amended to read as follows:</w:t>
      </w:r>
    </w:p>
    <w:p>
      <w:pPr>
        <w:spacing w:before="0" w:after="0" w:line="408" w:lineRule="exact"/>
        <w:ind w:left="0" w:right="0" w:firstLine="576"/>
        <w:jc w:val="left"/>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spacing w:before="0" w:after="0" w:line="408" w:lineRule="exact"/>
        <w:ind w:left="0" w:right="0" w:firstLine="576"/>
        <w:jc w:val="left"/>
      </w:pPr>
      <w:r>
        <w:rPr/>
        <w:t xml:space="preserve">(i) The deduction provided for in RCW 82.14.050; and</w:t>
      </w:r>
    </w:p>
    <w:p>
      <w:pPr>
        <w:spacing w:before="0" w:after="0" w:line="408" w:lineRule="exact"/>
        <w:ind w:left="0" w:right="0" w:firstLine="576"/>
        <w:jc w:val="left"/>
      </w:pPr>
      <w:r>
        <w:rPr/>
        <w:t xml:space="preserve">(ii) The amount of any refunds of local sales and use taxes exempted under RCW 82.08.962, 82.12.962, 82.08.02565, 82.12.02565, 82.08.025661, </w:t>
      </w:r>
      <w:r>
        <w:t>((</w:t>
      </w:r>
      <w:r>
        <w:rPr>
          <w:strike/>
        </w:rPr>
        <w:t xml:space="preserve">or</w:t>
      </w:r>
      <w:r>
        <w:t>))</w:t>
      </w:r>
      <w:r>
        <w:rPr/>
        <w:t xml:space="preserve"> 82.12.025661, </w:t>
      </w:r>
      <w:r>
        <w:rPr>
          <w:u w:val="single"/>
        </w:rPr>
        <w:t xml:space="preserve">or section 1 or 2 of this act,</w:t>
      </w:r>
      <w:r>
        <w:rPr/>
        <w:t xml:space="preserve"> which must be made without appropriation.</w:t>
      </w:r>
    </w:p>
    <w:p>
      <w:pPr>
        <w:spacing w:before="0" w:after="0" w:line="408" w:lineRule="exact"/>
        <w:ind w:left="0" w:right="0" w:firstLine="576"/>
        <w:jc w:val="left"/>
      </w:pPr>
      <w:r>
        <w:rPr/>
        <w:t xml:space="preserve">(b) The state treasurer must make the distribution under this section without appropriation.</w:t>
      </w:r>
    </w:p>
    <w:p>
      <w:pPr>
        <w:spacing w:before="0" w:after="0" w:line="408" w:lineRule="exact"/>
        <w:ind w:left="0" w:right="0" w:firstLine="576"/>
        <w:jc w:val="left"/>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expires on the date that the department of fish and wildlife determines that state fish passage barrier removal is complete and meets the standards set forth in federal court order.</w:t>
      </w:r>
    </w:p>
    <w:p>
      <w:pPr>
        <w:spacing w:before="0" w:after="0" w:line="408" w:lineRule="exact"/>
        <w:ind w:left="0" w:right="0" w:firstLine="576"/>
        <w:jc w:val="left"/>
      </w:pPr>
      <w:r>
        <w:rPr/>
        <w:t xml:space="preserve">(2) The department of fish and wildlife must provide written notice of the expiration date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c743b87d307b490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58fff5d31f434d" /><Relationship Type="http://schemas.openxmlformats.org/officeDocument/2006/relationships/footer" Target="/word/footer1.xml" Id="Rc743b87d307b490c" /></Relationships>
</file>