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54c71ce0242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and King; by request of Department of Transportation)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47.10.882, 47.10.887, 47.10.888, 47.56.880, and 47.56.884; reenacting and amending RCW 43.84.092; adding new sections to chapter 47.10 RCW; adding new sections to chapter 47.56 RCW; creating new sections; repealing RCW 47.56.403 and 47.66.090;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Interstate 405 and state route number 167 corridors in King county serve as ideal candidates for an express toll lanes network. The express toll lanes network provides a tool for managing the use of high occupancy vehicle lanes while generating funds to improve projects in the corridors.</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and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dollars for the Interstate 405 corridor;</w:t>
      </w:r>
    </w:p>
    <w:p>
      <w:pPr>
        <w:spacing w:before="0" w:after="0" w:line="408" w:lineRule="exact"/>
        <w:ind w:left="0" w:right="0" w:firstLine="576"/>
        <w:jc w:val="left"/>
      </w:pPr>
      <w:r>
        <w:rPr/>
        <w:t xml:space="preserve">(b) One hundred sixty million dollars for the state route number 167 corridor; and</w:t>
      </w:r>
    </w:p>
    <w:p>
      <w:pPr>
        <w:spacing w:before="0" w:after="0" w:line="408" w:lineRule="exact"/>
        <w:ind w:left="0" w:right="0" w:firstLine="576"/>
        <w:jc w:val="left"/>
      </w:pPr>
      <w:r>
        <w:rPr/>
        <w:t xml:space="preserve">(c)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express toll lanes account created under RCW 47.56.884;</w:t>
      </w:r>
    </w:p>
    <w:p>
      <w:pPr>
        <w:spacing w:before="0" w:after="0" w:line="408" w:lineRule="exact"/>
        <w:ind w:left="0" w:right="0" w:firstLine="576"/>
        <w:jc w:val="left"/>
      </w:pPr>
      <w:r>
        <w:rPr/>
        <w:t xml:space="preserve">(b) Section 2(1)(b) of this act shall be deposited in the state route number 167 express toll lanes account created in section 13 of this act; and</w:t>
      </w:r>
    </w:p>
    <w:p>
      <w:pPr>
        <w:spacing w:before="0" w:after="0" w:line="408" w:lineRule="exact"/>
        <w:ind w:left="0" w:right="0" w:firstLine="576"/>
        <w:jc w:val="left"/>
      </w:pPr>
      <w:r>
        <w:rPr/>
        <w:t xml:space="preserve">(c) Section 2(1)(c) of this act shall be deposited in the Puget Sound Gateway facility account created in section 15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express toll lanes, the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and vehicle-related fee revenues to the state, counties, cities, and towns unless the amount arising from excise taxes on fuel and vehicle-related fees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and vehicle-related fees that are distributable to the state, counties, cities, and towns shall be repaid from available toll revenue in the manner provided in the bond proceedings or, if toll revenue is not available for that purpose, from the first revenues from the excise taxes on fuel and vehicle-related fees distributed to the motor vehicle fund not required for bond retirement or interest on the bonds. Any excise taxes on fuel and vehicle-related fees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and vehicle-related fees for the payment of principal and interest thereon shall be an equal charge against the revenues from such excise taxes on fuel and vehicle-related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express toll lanes on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w:t>
      </w:r>
      <w:r>
        <w:t>((</w:t>
      </w:r>
      <w:r>
        <w:rPr>
          <w:strike/>
        </w:rPr>
        <w:t xml:space="preserve">an</w:t>
      </w:r>
      <w:r>
        <w:t>))</w:t>
      </w:r>
      <w:r>
        <w:rPr/>
        <w:t xml:space="preserve"> eligible toll </w:t>
      </w:r>
      <w:r>
        <w:t>((</w:t>
      </w:r>
      <w:r>
        <w:rPr>
          <w:strike/>
        </w:rPr>
        <w:t xml:space="preserve">facility</w:t>
      </w:r>
      <w:r>
        <w:t>))</w:t>
      </w:r>
      <w:r>
        <w:rPr/>
        <w:t xml:space="preserve"> </w:t>
      </w:r>
      <w:r>
        <w:rPr>
          <w:u w:val="single"/>
        </w:rPr>
        <w:t xml:space="preserve">facilities</w:t>
      </w:r>
      <w:r>
        <w:rPr/>
        <w:t xml:space="preserve">, and toll revenue generated in the </w:t>
      </w:r>
      <w:r>
        <w:rPr>
          <w:u w:val="single"/>
        </w:rPr>
        <w:t xml:space="preserve">respective</w:t>
      </w:r>
      <w:r>
        <w:rPr/>
        <w:t xml:space="preserve"> corridor</w:t>
      </w:r>
      <w:r>
        <w:rPr>
          <w:u w:val="single"/>
        </w:rPr>
        <w:t xml:space="preserve">s</w:t>
      </w:r>
      <w:r>
        <w:rPr/>
        <w:t xml:space="preserve">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master plan. It is the intent of the legislature to first use the bond proceeds for the following projects, in priority order:</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 and</w:t>
      </w:r>
    </w:p>
    <w:p>
      <w:pPr>
        <w:spacing w:before="0" w:after="0" w:line="408" w:lineRule="exact"/>
        <w:ind w:left="0" w:right="0" w:firstLine="576"/>
        <w:jc w:val="left"/>
      </w:pPr>
      <w:r>
        <w:rPr>
          <w:u w:val="single"/>
        </w:rPr>
        <w:t xml:space="preserve">(c) Up to twenty million dollars to design the Interstate 405/North 8th Street Direct Access Ramp project in the city of Renton. It is the intent of the legislature to provide construction funding for this project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route number 167 express toll lanes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state route number 167 projects, including capitalized interest;</w:t>
      </w:r>
    </w:p>
    <w:p>
      <w:pPr>
        <w:spacing w:before="0" w:after="0" w:line="408" w:lineRule="exact"/>
        <w:ind w:left="0" w:right="0" w:firstLine="576"/>
        <w:jc w:val="left"/>
      </w:pPr>
      <w:r>
        <w:rPr/>
        <w:t xml:space="preserve">(b) All tolls and other revenues received from the operation of the state route number 167 express toll lanes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state route number 167 express toll lanes facility; and</w:t>
      </w:r>
    </w:p>
    <w:p>
      <w:pPr>
        <w:spacing w:before="0" w:after="0" w:line="408" w:lineRule="exact"/>
        <w:ind w:left="0" w:right="0" w:firstLine="576"/>
        <w:jc w:val="left"/>
      </w:pPr>
      <w:r>
        <w:rPr/>
        <w:t xml:space="preserve">(e) All damages liquidated or otherwise, collected under any contract involving state route number 167 projects.</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state route number 167 master plan. It is the intent of the legislature to use the bond proceeds for the following priority projects:</w:t>
      </w:r>
    </w:p>
    <w:p>
      <w:pPr>
        <w:spacing w:before="0" w:after="0" w:line="408" w:lineRule="exact"/>
        <w:ind w:left="0" w:right="0" w:firstLine="576"/>
        <w:jc w:val="left"/>
      </w:pPr>
      <w:r>
        <w:rPr/>
        <w:t xml:space="preserve">(a) Up to three million dollars to update the state route 167 master plan; and</w:t>
      </w:r>
    </w:p>
    <w:p>
      <w:pPr>
        <w:spacing w:before="0" w:after="0" w:line="408" w:lineRule="exact"/>
        <w:ind w:left="0" w:right="0" w:firstLine="576"/>
        <w:jc w:val="left"/>
      </w:pPr>
      <w:r>
        <w:rPr/>
        <w:t xml:space="preserve">(b) Up to one hundred million dollars to construct both the northbound and southbound state route number 167 stage 6 extension projects. This project would extend the express toll lanes south to the state route number 410 and state route number 512 interchange to help mitigate traffic congestion.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15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2(1)(c)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2(1)(c)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w:t>
      </w:r>
      <w:r>
        <w:rPr>
          <w:u w:val="single"/>
        </w:rPr>
        <w:t xml:space="preserve">the state route number 167 express toll lanes account,</w:t>
      </w:r>
      <w:r>
        <w:rPr/>
        <w:t xml:space="preserve">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17 of this act on the effective date of this section, and any year-end accruals accounted for after the effective date of this section from the state route number 167 high occupancy toll lanes pilot project, shall be transferred to the state route number 167 express toll lanes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3310fa7fbdad46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6c41951ae4e24" /><Relationship Type="http://schemas.openxmlformats.org/officeDocument/2006/relationships/footer" Target="/word/footer1.xml" Id="R3310fa7fbdad4671" /></Relationships>
</file>