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8df230819c4b46" /></Relationships>
</file>

<file path=word/document.xml><?xml version="1.0" encoding="utf-8"?>
<w:document xmlns:w="http://schemas.openxmlformats.org/wordprocessingml/2006/main">
  <w:body>
    <w:p>
      <w:r>
        <w:t>Z-0193.4</w:t>
      </w:r>
    </w:p>
    <w:p>
      <w:pPr>
        <w:jc w:val="center"/>
      </w:pPr>
      <w:r>
        <w:t>_______________________________________________</w:t>
      </w:r>
    </w:p>
    <w:p/>
    <w:p>
      <w:pPr>
        <w:jc w:val="center"/>
      </w:pPr>
      <w:r>
        <w:rPr>
          <w:b/>
        </w:rPr>
        <w:t>SENATE BILL 5825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and King; by request of Department of Transportation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the Interstate 405, state route number 167, and state route number 509; amending RCW 47.56.880 and 47.56.884; reenacting and amending RCW 43.84.092; adding new sections to chapter 47.56 RCW; creating a new section; repealing RCW 47.56.403;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combined Interstate number 405 and state route number 167 corridor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designate the Puget Sound Gateway project as an eligible toll facility and to authorize the imposition of tolls on the Puget Sound Gateway facility. It is further the intent of this act to direct the department of transportation to develop and operate an express toll lanes corridor on Interstate 405 from the city of Lynnwood on the north end to state route number 167 and state route number 512 on the south 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from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ensure </w:t>
      </w:r>
      <w:r>
        <w:t>((</w:t>
      </w:r>
      <w:r>
        <w:rPr>
          <w:strike/>
        </w:rPr>
        <w:t xml:space="preserve">that average vehicle speeds in the lanes remain above forty-five miles per hour at least ninety percent of the time during peak hours</w:t>
      </w:r>
      <w:r>
        <w:t>))</w:t>
      </w:r>
      <w:r>
        <w:rPr/>
        <w:t xml:space="preserve"> </w:t>
      </w:r>
      <w:r>
        <w:rPr>
          <w:u w:val="single"/>
        </w:rPr>
        <w:t xml:space="preserve">the most efficient movement of traffic</w:t>
      </w:r>
      <w:r>
        <w:rPr/>
        <w:t xml:space="preserve">.</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w:t>
      </w:r>
      <w:r>
        <w:rPr>
          <w:u w:val="single"/>
        </w:rPr>
        <w:t xml:space="preserve">until December 31, 2030,</w:t>
      </w:r>
      <w:r>
        <w:rPr/>
        <w:t xml:space="preserve">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or an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t xml:space="preserve">The Interstate 405 </w:t>
      </w:r>
      <w:r>
        <w:rPr>
          <w:u w:val="single"/>
        </w:rPr>
        <w:t xml:space="preserve">and state route number 167</w:t>
      </w:r>
      <w:r>
        <w:rPr/>
        <w:t xml:space="preserve"> express toll lanes operations account is created in the </w:t>
      </w:r>
      <w:r>
        <w:t>((</w:t>
      </w:r>
      <w:r>
        <w:rPr>
          <w:strike/>
        </w:rPr>
        <w:t xml:space="preserve">motor vehicle fund</w:t>
      </w:r>
      <w:r>
        <w:t>))</w:t>
      </w:r>
      <w:r>
        <w:rPr/>
        <w:t xml:space="preserve"> </w:t>
      </w:r>
      <w:r>
        <w:rPr>
          <w:u w:val="single"/>
        </w:rPr>
        <w:t xml:space="preserve">state treasury</w:t>
      </w:r>
      <w:r>
        <w:rPr/>
        <w:t xml:space="preserve">. All revenues received by the department as toll charges collected from Interstate 405 </w:t>
      </w:r>
      <w:r>
        <w:rPr>
          <w:u w:val="single"/>
        </w:rPr>
        <w:t xml:space="preserve">and state route number 167</w:t>
      </w:r>
      <w:r>
        <w:rPr/>
        <w:t xml:space="preserve"> express toll lane users must be deposited into the account. Moneys in the account may be spent only after appropriation</w:t>
      </w:r>
      <w:r>
        <w:t>((</w:t>
      </w:r>
      <w:r>
        <w:rPr>
          <w:strike/>
        </w:rPr>
        <w:t xml:space="preserve">.</w:t>
      </w:r>
      <w:r>
        <w:t>))</w:t>
      </w:r>
      <w:r>
        <w:rPr/>
        <w:t xml:space="preserve"> </w:t>
      </w:r>
      <w:r>
        <w:rPr>
          <w:u w:val="single"/>
        </w:rPr>
        <w:t xml:space="preserve">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project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(3) For the purposes of this section and section 5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special account to be known as the Puget Sound Gateway facility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and loans issued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(2) Subject to the covenants made by the state in the bond proceedings authorizing the issuance and sale of bonds for the construction of the Puget Sound Gateway project, toll charges, other revenues, and interest received from the operations of the Puget Sound Gateway facility may be used to:</w:t>
      </w:r>
    </w:p>
    <w:p>
      <w:pPr>
        <w:spacing w:before="0" w:after="0" w:line="408" w:lineRule="exact"/>
        <w:ind w:left="0" w:right="0" w:firstLine="576"/>
        <w:jc w:val="left"/>
      </w:pPr>
      <w:r>
        <w:rPr/>
        <w:t xml:space="preserve">(a) Pay any required costs allowed under RCW 47.56.820; and</w:t>
      </w:r>
    </w:p>
    <w:p>
      <w:pPr>
        <w:spacing w:before="0" w:after="0" w:line="408" w:lineRule="exact"/>
        <w:ind w:left="0" w:right="0" w:firstLine="576"/>
        <w:jc w:val="left"/>
      </w:pPr>
      <w:r>
        <w:rPr/>
        <w:t xml:space="preserve">(b) Repay amounts to the motor vehicle fund as required.</w:t>
      </w:r>
    </w:p>
    <w:p>
      <w:pPr>
        <w:spacing w:before="0" w:after="0" w:line="408" w:lineRule="exact"/>
        <w:ind w:left="0" w:right="0" w:firstLine="576"/>
        <w:jc w:val="left"/>
      </w:pPr>
      <w:r>
        <w:rPr/>
        <w:t xml:space="preserve">(3) When repaying the motor vehicle fund, the state treasurer shall transfer funds from the Puget Sound Gateway facility account to the motor vehicle fund on or before each debt service date for bonds issued for the construction of the Puget Sound Gateway project in an amount sufficient to repay the motor vehicle fund for amounts transferred from that fund to the highway bond retirement fund to provide for any bond principal and interest due on that date. The state treasurer may establish subaccounts for segregating toll charges, bond sale proceeds, and other revenues.</w:t>
      </w:r>
    </w:p>
    <w:p>
      <w:pPr>
        <w:spacing w:before="0" w:after="0" w:line="408" w:lineRule="exact"/>
        <w:ind w:left="0" w:right="0" w:firstLine="576"/>
        <w:jc w:val="left"/>
      </w:pPr>
      <w:r>
        <w:rPr/>
        <w:t xml:space="preserve">(4)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w:t>
      </w:r>
      <w:r>
        <w:rPr>
          <w:u w:val="single"/>
        </w:rPr>
        <w:t xml:space="preserve">and state route number 167</w:t>
      </w:r>
      <w:r>
        <w:rPr/>
        <w:t xml:space="preserve">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
      <w:pPr>
        <w:jc w:val="center"/>
      </w:pPr>
      <w:r>
        <w:rPr>
          <w:b/>
        </w:rPr>
        <w:t>--- END ---</w:t>
      </w:r>
    </w:p>
    <w:sectPr>
      <w:pgNumType w:start="1"/>
      <w:footerReference xmlns:r="http://schemas.openxmlformats.org/officeDocument/2006/relationships" r:id="Rb13eb5aec2db4b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0301870db542ca" /><Relationship Type="http://schemas.openxmlformats.org/officeDocument/2006/relationships/footer" Target="/word/footer1.xml" Id="Rb13eb5aec2db4b69" /></Relationships>
</file>